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方正黑体_GBK" w:cs="方正仿宋_GBK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黑体_GBK" w:cs="方正仿宋_GBK"/>
          <w:sz w:val="32"/>
          <w:szCs w:val="32"/>
        </w:rPr>
        <w:t>附件2</w:t>
      </w:r>
    </w:p>
    <w:p>
      <w:pPr>
        <w:spacing w:line="590" w:lineRule="exact"/>
        <w:ind w:firstLine="560" w:firstLineChars="200"/>
        <w:rPr>
          <w:rFonts w:ascii="Times New Roman" w:hAnsi="Times New Roman" w:eastAsia="方正仿宋_GBK" w:cs="方正仿宋_GBK"/>
          <w:sz w:val="28"/>
          <w:szCs w:val="28"/>
        </w:rPr>
      </w:pPr>
    </w:p>
    <w:p>
      <w:pPr>
        <w:pStyle w:val="4"/>
        <w:spacing w:before="240" w:beforeLine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各类别案例材料报送要求</w:t>
      </w:r>
    </w:p>
    <w:bookmarkEnd w:id="0"/>
    <w:p>
      <w:pPr>
        <w:pStyle w:val="5"/>
        <w:spacing w:before="120" w:beforeLines="50" w:line="590" w:lineRule="exact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（不超过5000字）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一、媒体融合先导单位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单位基本情况及媒体融合整体进展；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主要做法与实践，体制机制、内容生产、平台技术等；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成绩成效与社会反响，两个效益、传播力、影响力；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4. 可复制、可推广的成功经验，示范引领作用。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二、媒体融合成长项目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项目基本情况和主要创新点，理念、形式、技术等；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目前进展及应用情况，已经取得的成效；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成长空间和发展前景，两个效益、品牌影响力预期等。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三、媒体融合典型案例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案例基本情况，创新做法与实践；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成效与反响，两个效益及可持续性等；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经验与启示，可以借鉴的理念和做法。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四、媒体融合传播力案例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案例基本情况，主题宣传、传播方式、传播渠道等；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传播力、引导力、影响力、公信力等方面的成效；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融合传播两个效益和引领示范作用。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注：请提供相应的用户量、传播量、互动量、点赞量、社会效益、经济效益等具体数据，酌情增加对比性数据，避免过多感性描述。用户量以各机构网站、手机客户端、微信、微博等主账号注册用户量为准；传播量以各机构主平台、主账号首发传播量为准；互动量、点赞量以各机构主平台、主账号显示数量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01DE0"/>
    <w:rsid w:val="4180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  <w:style w:type="paragraph" w:customStyle="1" w:styleId="5">
    <w:name w:val="标题2"/>
    <w:basedOn w:val="1"/>
    <w:next w:val="1"/>
    <w:uiPriority w:val="0"/>
    <w:pPr>
      <w:jc w:val="center"/>
    </w:pPr>
    <w:rPr>
      <w:rFonts w:ascii="方正楷体_GBK" w:hAnsi="Book Antiqua"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2022-03-31T02:57:00Z</dcterms:created>
  <dc:creator>仇乐</dc:creator>
  <cp:lastModifiedBy>仇乐</cp:lastModifiedBy>
  <dcterms:modified xsi:type="dcterms:W3CDTF">2022-03-31T02:59:00Z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