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735"/>
        <w:gridCol w:w="3470"/>
        <w:gridCol w:w="2140"/>
        <w:gridCol w:w="720"/>
        <w:gridCol w:w="780"/>
        <w:gridCol w:w="9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0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小标宋简体" w:hAnsi="宋体" w:eastAsia="方正小标宋简体" w:cs="宋体"/>
                <w:bCs/>
                <w:snapToGrid/>
                <w:color w:val="000000"/>
                <w:sz w:val="44"/>
                <w:szCs w:val="44"/>
              </w:rPr>
            </w:pPr>
            <w:bookmarkStart w:id="0" w:name="_GoBack" w:colFirst="0" w:colLast="6"/>
            <w:r>
              <w:rPr>
                <w:rFonts w:hint="eastAsia" w:ascii="方正小标宋简体" w:hAnsi="宋体" w:eastAsia="方正小标宋简体" w:cs="宋体"/>
                <w:bCs/>
                <w:snapToGrid/>
                <w:color w:val="000000"/>
                <w:sz w:val="44"/>
                <w:szCs w:val="44"/>
              </w:rPr>
              <w:t>2020年全省广播电视系统教育培训项目计划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培训名称</w:t>
            </w:r>
          </w:p>
        </w:tc>
        <w:tc>
          <w:tcPr>
            <w:tcW w:w="3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培训内容</w:t>
            </w:r>
          </w:p>
        </w:tc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培训对象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拟办班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9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承办  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1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举办时间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snapToGrid/>
                <w:color w:val="000000"/>
                <w:sz w:val="21"/>
                <w:szCs w:val="21"/>
              </w:rPr>
              <w:t>每期天数</w:t>
            </w:r>
          </w:p>
        </w:tc>
        <w:tc>
          <w:tcPr>
            <w:tcW w:w="9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b/>
                <w:bCs/>
                <w:snapToGrid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全省广电系统办公室工作业务培训班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信息报送工作，安全工作，文电系统操作实务，年鉴稿件撰写，公文规范化。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省广电总台、江苏有线、各设区市局、台办公室工作人员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5月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办公室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全省广电系统法制工作骨干培训班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当前广播电视法制工作基本情况及工作重点，行政诉讼典型案例剖析，行政执法与案件查处，依法行政工作情况交流，省局相关业务处室负责人通报有关工作情况。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全省广电系统法制工作骨干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10月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3天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政策法规处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全省广播电视创新创优培训班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广播电视节目、动画片和纪录片精品创作辅导、经验分享交流等。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省总台宣管部、新闻中心、优漫卡通卫视负责人；各市局台分管领导、各市局宣传（广电）处、市台总编室或新闻中心主任、县级台代表、动画纪录片制作机构代表经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9月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3天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宣传处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4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全省县级广播电视节目联合制作研讨班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围绕全面建成小康社会、建党100周年、大运河文化、精准扶贫、生态环境建设等2020年重大宣传主题将组织全省县级广播电视台开展联合策划、联合制作、联合采编、联合播出的“共享联合提升”行动。针对参加联合行动各县级播出机构一线采编播人员采取策划引导、专家授课、跟班学习、实地采编等相关内容的培训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全省县级播出机构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5月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传媒处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5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全省网络视听精品生产培训班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内容审核、创意创作、剧本编剧、网络影视和网络节目导演等。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重点网络影视剧和网络视听节目生产创作、编剧、导演、审核暨管理人员等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9月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待定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6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县级融媒体业务骨干培训班</w:t>
            </w:r>
          </w:p>
        </w:tc>
        <w:tc>
          <w:tcPr>
            <w:tcW w:w="3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《县级融媒体中心省级技术平台规范要求》《县级融媒体中心建设规范》《县级融媒体中心网络安全规范》《县级融媒体中心运行维护规范》《县级融媒体中心监测监管规范》等标准规范。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县级融媒体中心负责人和业务骨干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11月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媒体融合发展处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广播电视高新技术培训班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5G、物联网、IPV6、区块链、大数据、高新视频、人工智能等高新技术的理论及应用。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省、市、县三级管理人员及工程技术骨干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5-6月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科技处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color w:val="000000"/>
                <w:sz w:val="18"/>
                <w:szCs w:val="18"/>
              </w:rPr>
            </w:pPr>
            <w:r>
              <w:rPr>
                <w:rFonts w:eastAsia="方正仿宋简体"/>
                <w:snapToGrid/>
                <w:color w:val="000000"/>
                <w:sz w:val="18"/>
                <w:szCs w:val="18"/>
              </w:rPr>
              <w:t>全省广播电视安全保障培训班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color w:val="000000"/>
                <w:sz w:val="18"/>
                <w:szCs w:val="18"/>
              </w:rPr>
            </w:pPr>
            <w:r>
              <w:rPr>
                <w:rFonts w:eastAsia="方正仿宋简体"/>
                <w:snapToGrid/>
                <w:color w:val="000000"/>
                <w:sz w:val="18"/>
                <w:szCs w:val="18"/>
              </w:rPr>
              <w:t>广播电视安全播出、网络安全及设施保护等精神宣贯、经验交流、任务布置。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color w:val="000000"/>
                <w:sz w:val="18"/>
                <w:szCs w:val="18"/>
              </w:rPr>
            </w:pPr>
            <w:r>
              <w:rPr>
                <w:rFonts w:eastAsia="方正仿宋简体"/>
                <w:snapToGrid/>
                <w:color w:val="000000"/>
                <w:sz w:val="18"/>
                <w:szCs w:val="18"/>
              </w:rPr>
              <w:t>省局、省总台、省网络公司、省监测台安全保障工作负责人，各设区市文广旅局主管处长、广播电视台分管台长、网络公司分管领导，设播出机构的县级广播电视台分管台长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color w:val="000000"/>
                <w:sz w:val="18"/>
                <w:szCs w:val="18"/>
              </w:rPr>
            </w:pPr>
            <w:r>
              <w:rPr>
                <w:rFonts w:eastAsia="方正仿宋简体"/>
                <w:snapToGrid/>
                <w:color w:val="000000"/>
                <w:sz w:val="18"/>
                <w:szCs w:val="18"/>
              </w:rPr>
              <w:t>8月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color w:val="000000"/>
                <w:sz w:val="18"/>
                <w:szCs w:val="18"/>
              </w:rPr>
            </w:pPr>
            <w:r>
              <w:rPr>
                <w:rFonts w:eastAsia="方正仿宋简体"/>
                <w:snapToGrid/>
                <w:color w:val="000000"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color w:val="000000"/>
                <w:sz w:val="18"/>
                <w:szCs w:val="18"/>
              </w:rPr>
            </w:pPr>
            <w:r>
              <w:rPr>
                <w:rFonts w:eastAsia="方正仿宋简体"/>
                <w:snapToGrid/>
                <w:color w:val="000000"/>
                <w:sz w:val="18"/>
                <w:szCs w:val="18"/>
              </w:rPr>
              <w:t>安全传输保障处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广播电视财务管理工作培训班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财政改革及专项资金管理相关政策，宣讲解读《江苏省广播电视覆盖专项资金管理办法》主要精神，贯彻落实《江苏省广播电视覆盖专项资金管理办法》具体要求，研究加强专项资金使用管理效益、绩效考核的具体措施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省台、省网，设区市、省管县文化广电和旅游局、广电台财务处（科）长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3月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规划财务处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10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广播电视和网络视听行业领军人才工程、青年创新人才工程业务培训班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广播电视和网络视听行业领军人才工程、青年创新人才工程实施方案政策解读及首届全国广电系统领军人才、青年创新人才推荐工作实务。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省台、省网、各设区市局台、基地（园区）人事处长或人才工作负责人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3月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人事处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全省广播电视监测网技术维护管理工作培训班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宣贯中央、省有关广播电视安全播出文件精神；介绍全省广播电视监测网系统构架、前端功能、设备组成、维护知识在内的技术工作原理；总结本年度技术维护管理工作并布置下年度工作计划。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全省各区县监测站点负责人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11月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2天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省广播电视监测台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3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广播电视收听收看专家培训班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宣传管理政策要求及案例分析。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全省广播电视收听收看专家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10月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3天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省广播电视收听收看中心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2327E"/>
    <w:rsid w:val="27C2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2020-03-19T11:15:00Z</dcterms:created>
  <dc:creator>STSK</dc:creator>
  <cp:lastModifiedBy>STSK</cp:lastModifiedBy>
  <dcterms:modified xsi:type="dcterms:W3CDTF">2020-03-19T11:15:52Z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