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附件1</w:t>
      </w:r>
    </w:p>
    <w:p>
      <w:pPr>
        <w:keepNext w:val="0"/>
        <w:keepLines w:val="0"/>
        <w:pageBreakBefore w:val="0"/>
        <w:widowControl/>
        <w:kinsoku/>
        <w:wordWrap/>
        <w:overflowPunct/>
        <w:topLinePunct w:val="0"/>
        <w:autoSpaceDE/>
        <w:autoSpaceDN/>
        <w:bidi w:val="0"/>
        <w:adjustRightInd/>
        <w:snapToGrid/>
        <w:spacing w:line="640" w:lineRule="exact"/>
        <w:ind w:firstLine="539"/>
        <w:jc w:val="center"/>
        <w:textAlignment w:val="auto"/>
        <w:rPr>
          <w:rFonts w:hint="eastAsia" w:ascii="方正小标宋_GBK" w:hAnsi="方正小标宋_GBK" w:eastAsia="方正小标宋_GBK" w:cs="方正小标宋_GBK"/>
          <w:spacing w:val="-12"/>
          <w:sz w:val="44"/>
          <w:szCs w:val="44"/>
        </w:rPr>
      </w:pPr>
    </w:p>
    <w:p>
      <w:pPr>
        <w:keepNext w:val="0"/>
        <w:keepLines w:val="0"/>
        <w:pageBreakBefore w:val="0"/>
        <w:widowControl/>
        <w:kinsoku/>
        <w:wordWrap/>
        <w:overflowPunct/>
        <w:topLinePunct w:val="0"/>
        <w:autoSpaceDE/>
        <w:autoSpaceDN/>
        <w:bidi w:val="0"/>
        <w:adjustRightInd/>
        <w:snapToGrid/>
        <w:spacing w:line="640" w:lineRule="exact"/>
        <w:ind w:firstLine="539"/>
        <w:jc w:val="center"/>
        <w:textAlignment w:val="auto"/>
        <w:rPr>
          <w:rFonts w:hint="eastAsia" w:ascii="方正小标宋_GBK" w:hAnsi="方正小标宋_GBK" w:eastAsia="方正小标宋_GBK" w:cs="方正小标宋_GBK"/>
          <w:spacing w:val="-12"/>
          <w:sz w:val="44"/>
          <w:szCs w:val="44"/>
        </w:rPr>
      </w:pPr>
      <w:r>
        <w:rPr>
          <w:rFonts w:hint="eastAsia" w:ascii="方正小标宋_GBK" w:hAnsi="方正小标宋_GBK" w:eastAsia="方正小标宋_GBK" w:cs="方正小标宋_GBK"/>
          <w:spacing w:val="-12"/>
          <w:sz w:val="44"/>
          <w:szCs w:val="44"/>
        </w:rPr>
        <w:t>联合行动主题清单</w:t>
      </w:r>
    </w:p>
    <w:p>
      <w:pPr>
        <w:keepNext w:val="0"/>
        <w:keepLines w:val="0"/>
        <w:pageBreakBefore w:val="0"/>
        <w:widowControl/>
        <w:tabs>
          <w:tab w:val="left" w:pos="1359"/>
        </w:tabs>
        <w:kinsoku/>
        <w:wordWrap/>
        <w:overflowPunct/>
        <w:topLinePunct w:val="0"/>
        <w:autoSpaceDE/>
        <w:autoSpaceDN/>
        <w:bidi w:val="0"/>
        <w:adjustRightInd/>
        <w:snapToGrid/>
        <w:spacing w:line="640" w:lineRule="exact"/>
        <w:ind w:firstLine="539"/>
        <w:jc w:val="left"/>
        <w:textAlignment w:val="auto"/>
        <w:rPr>
          <w:rFonts w:ascii="仿宋_GB2312" w:hAnsi="等线" w:eastAsia="仿宋_GB2312" w:cs="Times New Roman"/>
          <w:spacing w:val="-12"/>
          <w:sz w:val="32"/>
          <w:szCs w:val="32"/>
        </w:rPr>
      </w:pPr>
      <w:r>
        <w:rPr>
          <w:rFonts w:ascii="仿宋_GB2312" w:hAnsi="等线" w:eastAsia="仿宋_GB2312" w:cs="Times New Roman"/>
          <w:spacing w:val="-12"/>
          <w:sz w:val="32"/>
          <w:szCs w:val="32"/>
        </w:rPr>
        <w:tab/>
      </w:r>
    </w:p>
    <w:tbl>
      <w:tblPr>
        <w:tblStyle w:val="3"/>
        <w:tblW w:w="100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319"/>
        <w:gridCol w:w="3520"/>
        <w:gridCol w:w="4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4" w:type="dxa"/>
            <w:noWrap/>
            <w:vAlign w:val="center"/>
          </w:tcPr>
          <w:p>
            <w:pPr>
              <w:widowControl/>
              <w:jc w:val="center"/>
              <w:rPr>
                <w:rFonts w:hint="eastAsia" w:ascii="方正黑体_GBK" w:hAnsi="方正黑体_GBK" w:eastAsia="方正黑体_GBK" w:cs="方正黑体_GBK"/>
                <w:b w:val="0"/>
                <w:bCs w:val="0"/>
                <w:kern w:val="0"/>
                <w:sz w:val="24"/>
                <w:szCs w:val="24"/>
              </w:rPr>
            </w:pPr>
            <w:r>
              <w:rPr>
                <w:rFonts w:hint="eastAsia" w:ascii="方正黑体_GBK" w:hAnsi="方正黑体_GBK" w:eastAsia="方正黑体_GBK" w:cs="方正黑体_GBK"/>
                <w:b w:val="0"/>
                <w:bCs w:val="0"/>
                <w:kern w:val="0"/>
                <w:sz w:val="24"/>
                <w:szCs w:val="24"/>
              </w:rPr>
              <w:t>序号</w:t>
            </w:r>
          </w:p>
        </w:tc>
        <w:tc>
          <w:tcPr>
            <w:tcW w:w="1319" w:type="dxa"/>
            <w:noWrap/>
            <w:vAlign w:val="center"/>
          </w:tcPr>
          <w:p>
            <w:pPr>
              <w:widowControl/>
              <w:jc w:val="center"/>
              <w:rPr>
                <w:rFonts w:hint="eastAsia" w:ascii="方正黑体_GBK" w:hAnsi="方正黑体_GBK" w:eastAsia="方正黑体_GBK" w:cs="方正黑体_GBK"/>
                <w:b w:val="0"/>
                <w:bCs w:val="0"/>
                <w:kern w:val="0"/>
                <w:sz w:val="24"/>
                <w:szCs w:val="24"/>
              </w:rPr>
            </w:pPr>
            <w:r>
              <w:rPr>
                <w:rFonts w:hint="eastAsia" w:ascii="方正黑体_GBK" w:hAnsi="方正黑体_GBK" w:eastAsia="方正黑体_GBK" w:cs="方正黑体_GBK"/>
                <w:b w:val="0"/>
                <w:bCs w:val="0"/>
                <w:kern w:val="0"/>
                <w:sz w:val="24"/>
                <w:szCs w:val="24"/>
              </w:rPr>
              <w:t>牵头台</w:t>
            </w:r>
          </w:p>
        </w:tc>
        <w:tc>
          <w:tcPr>
            <w:tcW w:w="3520" w:type="dxa"/>
            <w:noWrap/>
            <w:vAlign w:val="center"/>
          </w:tcPr>
          <w:p>
            <w:pPr>
              <w:widowControl/>
              <w:jc w:val="center"/>
              <w:rPr>
                <w:rFonts w:hint="eastAsia" w:ascii="方正黑体_GBK" w:hAnsi="方正黑体_GBK" w:eastAsia="方正黑体_GBK" w:cs="方正黑体_GBK"/>
                <w:b w:val="0"/>
                <w:bCs w:val="0"/>
                <w:kern w:val="0"/>
                <w:sz w:val="24"/>
                <w:szCs w:val="24"/>
              </w:rPr>
            </w:pPr>
            <w:r>
              <w:rPr>
                <w:rFonts w:hint="eastAsia" w:ascii="方正黑体_GBK" w:hAnsi="方正黑体_GBK" w:eastAsia="方正黑体_GBK" w:cs="方正黑体_GBK"/>
                <w:b w:val="0"/>
                <w:bCs w:val="0"/>
                <w:kern w:val="0"/>
                <w:sz w:val="24"/>
                <w:szCs w:val="24"/>
              </w:rPr>
              <w:t>策划名称</w:t>
            </w:r>
          </w:p>
        </w:tc>
        <w:tc>
          <w:tcPr>
            <w:tcW w:w="4521" w:type="dxa"/>
            <w:noWrap/>
            <w:vAlign w:val="center"/>
          </w:tcPr>
          <w:p>
            <w:pPr>
              <w:widowControl/>
              <w:jc w:val="center"/>
              <w:rPr>
                <w:rFonts w:hint="eastAsia" w:ascii="方正黑体_GBK" w:hAnsi="方正黑体_GBK" w:eastAsia="方正黑体_GBK" w:cs="方正黑体_GBK"/>
                <w:b w:val="0"/>
                <w:bCs w:val="0"/>
                <w:kern w:val="0"/>
                <w:sz w:val="24"/>
                <w:szCs w:val="24"/>
              </w:rPr>
            </w:pPr>
            <w:r>
              <w:rPr>
                <w:rFonts w:hint="eastAsia" w:ascii="方正黑体_GBK" w:hAnsi="方正黑体_GBK" w:eastAsia="方正黑体_GBK" w:cs="方正黑体_GBK"/>
                <w:b w:val="0"/>
                <w:bCs w:val="0"/>
                <w:kern w:val="0"/>
                <w:sz w:val="24"/>
                <w:szCs w:val="24"/>
              </w:rPr>
              <w:t>内容简介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3" w:hRule="atLeast"/>
          <w:jc w:val="center"/>
        </w:trPr>
        <w:tc>
          <w:tcPr>
            <w:tcW w:w="704"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1</w:t>
            </w:r>
          </w:p>
        </w:tc>
        <w:tc>
          <w:tcPr>
            <w:tcW w:w="1319"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Times New Roman"/>
                <w:szCs w:val="22"/>
              </w:rPr>
              <w:t>新沂市台</w:t>
            </w:r>
          </w:p>
        </w:tc>
        <w:tc>
          <w:tcPr>
            <w:tcW w:w="3520"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Times New Roman"/>
                <w:szCs w:val="22"/>
              </w:rPr>
              <w:t>我们走在大路上</w:t>
            </w:r>
          </w:p>
        </w:tc>
        <w:tc>
          <w:tcPr>
            <w:tcW w:w="4521" w:type="dxa"/>
            <w:vAlign w:val="center"/>
          </w:tcPr>
          <w:p>
            <w:pPr>
              <w:widowControl/>
              <w:rPr>
                <w:rFonts w:ascii="仿宋_GB2312" w:hAnsi="等线" w:eastAsia="仿宋_GB2312" w:cs="宋体"/>
                <w:color w:val="000000"/>
                <w:kern w:val="0"/>
                <w:sz w:val="24"/>
                <w:szCs w:val="24"/>
              </w:rPr>
            </w:pPr>
            <w:r>
              <w:rPr>
                <w:rFonts w:hint="eastAsia" w:ascii="仿宋_GB2312" w:hAnsi="等线" w:eastAsia="仿宋_GB2312" w:cs="Times New Roman"/>
                <w:color w:val="000000"/>
                <w:sz w:val="22"/>
                <w:szCs w:val="22"/>
              </w:rPr>
              <w:t>以微纪录片的形式，从社会经济发展的各方面，以不同行业的人为代表和切入口，展现十八大以来，在各项政策的指引下，江苏基层社会治理、产业发展、乡村振兴、民生实事等方面的变化。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704" w:type="dxa"/>
            <w:noWrap/>
            <w:vAlign w:val="center"/>
          </w:tcPr>
          <w:p>
            <w:pPr>
              <w:widowControl/>
              <w:jc w:val="center"/>
              <w:rPr>
                <w:rFonts w:ascii="仿宋_GB2312" w:hAnsi="等线" w:eastAsia="仿宋_GB2312" w:cs="宋体"/>
                <w:color w:val="000000"/>
                <w:kern w:val="0"/>
                <w:sz w:val="24"/>
                <w:szCs w:val="24"/>
              </w:rPr>
            </w:pPr>
            <w:bookmarkStart w:id="0" w:name="_GoBack"/>
            <w:r>
              <w:rPr>
                <w:rFonts w:hint="eastAsia" w:ascii="仿宋_GB2312" w:hAnsi="等线" w:eastAsia="仿宋_GB2312" w:cs="宋体"/>
                <w:color w:val="000000"/>
                <w:kern w:val="0"/>
                <w:sz w:val="24"/>
                <w:szCs w:val="24"/>
              </w:rPr>
              <w:t>2</w:t>
            </w:r>
          </w:p>
        </w:tc>
        <w:tc>
          <w:tcPr>
            <w:tcW w:w="1319"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Times New Roman"/>
                <w:szCs w:val="22"/>
              </w:rPr>
              <w:t>新沂市台</w:t>
            </w:r>
          </w:p>
        </w:tc>
        <w:tc>
          <w:tcPr>
            <w:tcW w:w="3520"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Times New Roman"/>
                <w:szCs w:val="22"/>
              </w:rPr>
              <w:t>遇见.美丽江苏</w:t>
            </w:r>
          </w:p>
        </w:tc>
        <w:tc>
          <w:tcPr>
            <w:tcW w:w="4521" w:type="dxa"/>
            <w:vAlign w:val="center"/>
          </w:tcPr>
          <w:p>
            <w:pPr>
              <w:widowControl/>
              <w:rPr>
                <w:rFonts w:ascii="仿宋_GB2312" w:hAnsi="等线" w:eastAsia="仿宋_GB2312" w:cs="宋体"/>
                <w:color w:val="000000"/>
                <w:kern w:val="0"/>
                <w:sz w:val="24"/>
                <w:szCs w:val="24"/>
              </w:rPr>
            </w:pPr>
            <w:r>
              <w:rPr>
                <w:rFonts w:hint="eastAsia" w:ascii="仿宋_GB2312" w:hAnsi="等线" w:eastAsia="仿宋_GB2312" w:cs="Times New Roman"/>
                <w:color w:val="000000"/>
                <w:sz w:val="22"/>
                <w:szCs w:val="22"/>
              </w:rPr>
              <w:t>以短视频的形式囊括一切美好的事物，景美、人美、地方风情美。共同参与，联合制作，彼此之间互通作品，在各自平台推送，全景展现美丽江苏、水韵江苏、人文江苏的独特魅力。</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04"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3</w:t>
            </w:r>
          </w:p>
        </w:tc>
        <w:tc>
          <w:tcPr>
            <w:tcW w:w="1319"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Times New Roman"/>
                <w:szCs w:val="22"/>
              </w:rPr>
              <w:t>新沂市台</w:t>
            </w:r>
          </w:p>
        </w:tc>
        <w:tc>
          <w:tcPr>
            <w:tcW w:w="3520"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Times New Roman"/>
                <w:szCs w:val="22"/>
              </w:rPr>
              <w:t>我是手艺人</w:t>
            </w:r>
          </w:p>
        </w:tc>
        <w:tc>
          <w:tcPr>
            <w:tcW w:w="4521" w:type="dxa"/>
            <w:vAlign w:val="center"/>
          </w:tcPr>
          <w:p>
            <w:pPr>
              <w:widowControl/>
              <w:rPr>
                <w:rFonts w:ascii="仿宋_GB2312" w:hAnsi="等线" w:eastAsia="仿宋_GB2312" w:cs="宋体"/>
                <w:color w:val="000000"/>
                <w:kern w:val="0"/>
                <w:sz w:val="24"/>
                <w:szCs w:val="24"/>
              </w:rPr>
            </w:pPr>
            <w:r>
              <w:rPr>
                <w:rFonts w:hint="eastAsia" w:ascii="仿宋_GB2312" w:hAnsi="等线" w:eastAsia="仿宋_GB2312" w:cs="Times New Roman"/>
                <w:color w:val="000000"/>
                <w:sz w:val="22"/>
                <w:szCs w:val="22"/>
              </w:rPr>
              <w:t>以民间文化为主要创作内容，挖掘和传承优秀的民间文化，体现在乡村振兴过程中，民间文化的根源魅力。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04"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4</w:t>
            </w:r>
          </w:p>
        </w:tc>
        <w:tc>
          <w:tcPr>
            <w:tcW w:w="1319"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Times New Roman"/>
                <w:szCs w:val="22"/>
              </w:rPr>
              <w:t>溧水区台</w:t>
            </w:r>
          </w:p>
        </w:tc>
        <w:tc>
          <w:tcPr>
            <w:tcW w:w="3520"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Times New Roman"/>
                <w:szCs w:val="22"/>
              </w:rPr>
              <w:t>那些年 那些事</w:t>
            </w:r>
          </w:p>
        </w:tc>
        <w:tc>
          <w:tcPr>
            <w:tcW w:w="4521" w:type="dxa"/>
            <w:vAlign w:val="center"/>
          </w:tcPr>
          <w:p>
            <w:pPr>
              <w:widowControl/>
              <w:rPr>
                <w:rFonts w:ascii="仿宋_GB2312" w:hAnsi="等线" w:eastAsia="仿宋_GB2312" w:cs="宋体"/>
                <w:color w:val="000000"/>
                <w:kern w:val="0"/>
                <w:sz w:val="24"/>
                <w:szCs w:val="24"/>
              </w:rPr>
            </w:pPr>
            <w:r>
              <w:rPr>
                <w:rFonts w:hint="eastAsia" w:ascii="仿宋_GB2312" w:hAnsi="等线" w:eastAsia="仿宋_GB2312" w:cs="Times New Roman"/>
                <w:color w:val="000000"/>
                <w:sz w:val="22"/>
                <w:szCs w:val="22"/>
              </w:rPr>
              <w:t>1、着重介绍改革开放以来各地社会方方面面发生巨变过程中经历的艰辛、困苦，让观众意识到今天的美好生活来之不易，点燃大家的爱国热情。</w:t>
            </w:r>
            <w:r>
              <w:rPr>
                <w:rFonts w:hint="eastAsia" w:ascii="仿宋_GB2312" w:hAnsi="等线" w:eastAsia="仿宋_GB2312" w:cs="Times New Roman"/>
                <w:color w:val="000000"/>
                <w:sz w:val="22"/>
                <w:szCs w:val="22"/>
              </w:rPr>
              <w:br w:type="textWrapping"/>
            </w:r>
            <w:r>
              <w:rPr>
                <w:rFonts w:hint="eastAsia" w:ascii="仿宋_GB2312" w:hAnsi="等线" w:eastAsia="仿宋_GB2312" w:cs="Times New Roman"/>
                <w:color w:val="000000"/>
                <w:sz w:val="22"/>
                <w:szCs w:val="22"/>
              </w:rPr>
              <w:t>2、介绍一些创新创业成功人士背后不为人知的故事，用他们艰辛、坎坷的经历发人深省、给人启迪。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4" w:type="dxa"/>
            <w:noWrap/>
            <w:vAlign w:val="center"/>
          </w:tcPr>
          <w:p>
            <w:pPr>
              <w:widowControl/>
              <w:jc w:val="center"/>
              <w:rPr>
                <w:rFonts w:ascii="仿宋_GB2312" w:hAnsi="等线" w:eastAsia="仿宋_GB2312" w:cs="宋体"/>
                <w:color w:val="000000"/>
                <w:kern w:val="0"/>
                <w:sz w:val="24"/>
                <w:szCs w:val="24"/>
              </w:rPr>
            </w:pPr>
            <w:r>
              <w:rPr>
                <w:rFonts w:ascii="仿宋_GB2312" w:hAnsi="等线" w:eastAsia="仿宋_GB2312" w:cs="宋体"/>
                <w:color w:val="000000"/>
                <w:kern w:val="0"/>
                <w:sz w:val="24"/>
                <w:szCs w:val="24"/>
              </w:rPr>
              <w:t>5</w:t>
            </w:r>
          </w:p>
        </w:tc>
        <w:tc>
          <w:tcPr>
            <w:tcW w:w="1319"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Times New Roman"/>
                <w:szCs w:val="22"/>
              </w:rPr>
              <w:t>泰兴市台</w:t>
            </w:r>
          </w:p>
        </w:tc>
        <w:tc>
          <w:tcPr>
            <w:tcW w:w="3520"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Times New Roman"/>
                <w:szCs w:val="22"/>
              </w:rPr>
              <w:t xml:space="preserve">迸发青活力 </w:t>
            </w:r>
            <w:r>
              <w:rPr>
                <w:rFonts w:hint="eastAsia" w:ascii="微软雅黑" w:hAnsi="微软雅黑" w:eastAsia="微软雅黑" w:cs="微软雅黑"/>
                <w:szCs w:val="22"/>
              </w:rPr>
              <w:t>犇</w:t>
            </w:r>
            <w:r>
              <w:rPr>
                <w:rFonts w:hint="eastAsia" w:ascii="仿宋_GB2312" w:hAnsi="仿宋_GB2312" w:eastAsia="仿宋_GB2312" w:cs="仿宋_GB2312"/>
                <w:szCs w:val="22"/>
              </w:rPr>
              <w:t>跑新征程</w:t>
            </w:r>
          </w:p>
        </w:tc>
        <w:tc>
          <w:tcPr>
            <w:tcW w:w="4521" w:type="dxa"/>
            <w:vAlign w:val="center"/>
          </w:tcPr>
          <w:p>
            <w:pPr>
              <w:widowControl/>
              <w:rPr>
                <w:rFonts w:ascii="仿宋_GB2312" w:hAnsi="等线" w:eastAsia="仿宋_GB2312" w:cs="宋体"/>
                <w:color w:val="000000"/>
                <w:kern w:val="0"/>
                <w:sz w:val="24"/>
                <w:szCs w:val="24"/>
              </w:rPr>
            </w:pPr>
            <w:r>
              <w:rPr>
                <w:rFonts w:hint="eastAsia" w:ascii="仿宋_GB2312" w:hAnsi="等线" w:eastAsia="仿宋_GB2312" w:cs="Times New Roman"/>
                <w:color w:val="000000"/>
                <w:sz w:val="22"/>
                <w:szCs w:val="22"/>
              </w:rPr>
              <w:t>借助中国共青团建团成立100周年、省第二十届运动会举办契机，建设更富青春活力、开放包容、改革创新、汇聚英才、才尽其用的青春城市，助推奋进现代化新征程，以优异成绩献礼党的二十大，计划围绕幸福宜居、文明宜业、青年友好城市，就城市功能完善提升、青年创业创新先锋、文明志愿服务、文明实践等，突出移动优先、微视频呈现，开展特色化、系列化、全媒体策划宣传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704" w:type="dxa"/>
            <w:noWrap/>
            <w:vAlign w:val="center"/>
          </w:tcPr>
          <w:p>
            <w:pPr>
              <w:widowControl/>
              <w:jc w:val="center"/>
              <w:rPr>
                <w:rFonts w:ascii="仿宋_GB2312" w:hAnsi="等线" w:eastAsia="仿宋_GB2312" w:cs="宋体"/>
                <w:color w:val="000000"/>
                <w:kern w:val="0"/>
                <w:sz w:val="24"/>
                <w:szCs w:val="24"/>
              </w:rPr>
            </w:pPr>
            <w:r>
              <w:rPr>
                <w:rFonts w:ascii="仿宋_GB2312" w:hAnsi="等线" w:eastAsia="仿宋_GB2312" w:cs="宋体"/>
                <w:color w:val="000000"/>
                <w:kern w:val="0"/>
                <w:sz w:val="24"/>
                <w:szCs w:val="24"/>
              </w:rPr>
              <w:t>6</w:t>
            </w:r>
          </w:p>
        </w:tc>
        <w:tc>
          <w:tcPr>
            <w:tcW w:w="1319"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Times New Roman"/>
                <w:szCs w:val="22"/>
              </w:rPr>
              <w:t>浦口区台</w:t>
            </w:r>
          </w:p>
        </w:tc>
        <w:tc>
          <w:tcPr>
            <w:tcW w:w="3520"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Times New Roman"/>
                <w:szCs w:val="22"/>
              </w:rPr>
              <w:t>记住乡愁 走进省级传统村落</w:t>
            </w:r>
          </w:p>
        </w:tc>
        <w:tc>
          <w:tcPr>
            <w:tcW w:w="4521" w:type="dxa"/>
            <w:vAlign w:val="center"/>
          </w:tcPr>
          <w:p>
            <w:pPr>
              <w:widowControl/>
              <w:rPr>
                <w:rFonts w:ascii="仿宋_GB2312" w:hAnsi="等线" w:eastAsia="仿宋_GB2312" w:cs="宋体"/>
                <w:color w:val="000000"/>
                <w:kern w:val="0"/>
                <w:sz w:val="24"/>
                <w:szCs w:val="24"/>
              </w:rPr>
            </w:pPr>
            <w:r>
              <w:rPr>
                <w:rFonts w:hint="eastAsia" w:ascii="仿宋_GB2312" w:hAnsi="等线" w:eastAsia="仿宋_GB2312" w:cs="Times New Roman"/>
                <w:color w:val="000000"/>
                <w:sz w:val="22"/>
                <w:szCs w:val="22"/>
              </w:rPr>
              <w:t>通过主持人的视角，探访省级传统村落文化遗产现状，发现其独特的乡村魅力，寻找、挖掘、展现乡村文化之美。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04" w:type="dxa"/>
            <w:noWrap/>
            <w:vAlign w:val="center"/>
          </w:tcPr>
          <w:p>
            <w:pPr>
              <w:widowControl/>
              <w:jc w:val="center"/>
              <w:rPr>
                <w:rFonts w:ascii="仿宋_GB2312" w:hAnsi="等线" w:eastAsia="仿宋_GB2312" w:cs="宋体"/>
                <w:color w:val="000000"/>
                <w:kern w:val="0"/>
                <w:sz w:val="24"/>
                <w:szCs w:val="24"/>
              </w:rPr>
            </w:pPr>
            <w:r>
              <w:rPr>
                <w:rFonts w:ascii="仿宋_GB2312" w:hAnsi="等线" w:eastAsia="仿宋_GB2312" w:cs="宋体"/>
                <w:color w:val="000000"/>
                <w:kern w:val="0"/>
                <w:sz w:val="24"/>
                <w:szCs w:val="24"/>
              </w:rPr>
              <w:t>7</w:t>
            </w:r>
          </w:p>
        </w:tc>
        <w:tc>
          <w:tcPr>
            <w:tcW w:w="1319"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Times New Roman"/>
                <w:szCs w:val="22"/>
              </w:rPr>
              <w:t>沛县台</w:t>
            </w:r>
          </w:p>
        </w:tc>
        <w:tc>
          <w:tcPr>
            <w:tcW w:w="3520"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Times New Roman"/>
                <w:szCs w:val="22"/>
              </w:rPr>
              <w:t>我的乡村我的家</w:t>
            </w:r>
          </w:p>
        </w:tc>
        <w:tc>
          <w:tcPr>
            <w:tcW w:w="4521" w:type="dxa"/>
            <w:vAlign w:val="center"/>
          </w:tcPr>
          <w:p>
            <w:pPr>
              <w:widowControl/>
              <w:rPr>
                <w:rFonts w:ascii="仿宋_GB2312" w:hAnsi="等线" w:eastAsia="仿宋_GB2312" w:cs="宋体"/>
                <w:color w:val="000000"/>
                <w:kern w:val="0"/>
                <w:sz w:val="24"/>
                <w:szCs w:val="24"/>
              </w:rPr>
            </w:pPr>
            <w:r>
              <w:rPr>
                <w:rFonts w:hint="eastAsia" w:ascii="仿宋_GB2312" w:hAnsi="等线" w:eastAsia="仿宋_GB2312" w:cs="Times New Roman"/>
                <w:color w:val="000000"/>
                <w:sz w:val="22"/>
                <w:szCs w:val="22"/>
              </w:rPr>
              <w:t>为喜迎党的二十大召开，进一步展示各镇村在高质量发展中奋勇争先的新面貌，取得的新成果。县融媒体中心与各镇村联合开办《美丽乡村》专题栏目，聚焦各镇村在“生产发展、生活富裕、乡风文明、村容整洁、管理民主”等工作的新动态、新举措、新亮点，定格一个个瞬间，聆听背后奋斗历程、幸福故事、乡村振兴规划、共话美好蓝图等。以鲜活生动的镜头体验、扎实深入的采访摄制、瞬间定格的韶华时光，共同见证不负韶华激情奋斗的新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04" w:type="dxa"/>
            <w:noWrap/>
            <w:vAlign w:val="center"/>
          </w:tcPr>
          <w:p>
            <w:pPr>
              <w:widowControl/>
              <w:jc w:val="center"/>
              <w:rPr>
                <w:rFonts w:ascii="仿宋_GB2312" w:hAnsi="等线" w:eastAsia="仿宋_GB2312" w:cs="宋体"/>
                <w:color w:val="000000"/>
                <w:kern w:val="0"/>
                <w:sz w:val="24"/>
                <w:szCs w:val="24"/>
              </w:rPr>
            </w:pPr>
            <w:r>
              <w:rPr>
                <w:rFonts w:ascii="仿宋_GB2312" w:hAnsi="等线" w:eastAsia="仿宋_GB2312" w:cs="宋体"/>
                <w:color w:val="000000"/>
                <w:kern w:val="0"/>
                <w:sz w:val="24"/>
                <w:szCs w:val="24"/>
              </w:rPr>
              <w:t>8</w:t>
            </w:r>
          </w:p>
        </w:tc>
        <w:tc>
          <w:tcPr>
            <w:tcW w:w="1319"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Times New Roman"/>
                <w:szCs w:val="22"/>
              </w:rPr>
              <w:t>沛县台</w:t>
            </w:r>
          </w:p>
        </w:tc>
        <w:tc>
          <w:tcPr>
            <w:tcW w:w="3520"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Times New Roman"/>
                <w:szCs w:val="22"/>
              </w:rPr>
              <w:t>印象</w:t>
            </w:r>
          </w:p>
        </w:tc>
        <w:tc>
          <w:tcPr>
            <w:tcW w:w="4521" w:type="dxa"/>
            <w:vAlign w:val="center"/>
          </w:tcPr>
          <w:p>
            <w:pPr>
              <w:widowControl/>
              <w:rPr>
                <w:rFonts w:ascii="仿宋_GB2312" w:hAnsi="等线" w:eastAsia="仿宋_GB2312" w:cs="宋体"/>
                <w:color w:val="000000"/>
                <w:kern w:val="0"/>
                <w:sz w:val="24"/>
                <w:szCs w:val="24"/>
              </w:rPr>
            </w:pPr>
            <w:r>
              <w:rPr>
                <w:rFonts w:hint="eastAsia" w:ascii="仿宋_GB2312" w:hAnsi="等线" w:eastAsia="仿宋_GB2312" w:cs="Times New Roman"/>
                <w:color w:val="000000"/>
                <w:sz w:val="22"/>
                <w:szCs w:val="22"/>
              </w:rPr>
              <w:t>各地人民群众在各行各业挥洒着自己的汗水，洋溢着自己的才华，一步步走向成功，他（她）们已成为一张张靓丽的名片，在平凡的岗位上做着不平凡的事，用镜头去捕捉他（她）们背后的故事。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04" w:type="dxa"/>
            <w:noWrap/>
            <w:vAlign w:val="center"/>
          </w:tcPr>
          <w:p>
            <w:pPr>
              <w:widowControl/>
              <w:jc w:val="center"/>
              <w:rPr>
                <w:rFonts w:ascii="仿宋_GB2312" w:hAnsi="等线" w:eastAsia="仿宋_GB2312" w:cs="宋体"/>
                <w:color w:val="000000"/>
                <w:kern w:val="0"/>
                <w:sz w:val="24"/>
                <w:szCs w:val="24"/>
              </w:rPr>
            </w:pPr>
            <w:r>
              <w:rPr>
                <w:rFonts w:ascii="仿宋_GB2312" w:hAnsi="等线" w:eastAsia="仿宋_GB2312" w:cs="宋体"/>
                <w:color w:val="000000"/>
                <w:kern w:val="0"/>
                <w:sz w:val="24"/>
                <w:szCs w:val="24"/>
              </w:rPr>
              <w:t>9</w:t>
            </w:r>
          </w:p>
        </w:tc>
        <w:tc>
          <w:tcPr>
            <w:tcW w:w="1319"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Times New Roman"/>
                <w:szCs w:val="22"/>
              </w:rPr>
              <w:t>沛县台</w:t>
            </w:r>
          </w:p>
        </w:tc>
        <w:tc>
          <w:tcPr>
            <w:tcW w:w="3520"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Times New Roman"/>
                <w:szCs w:val="22"/>
              </w:rPr>
              <w:t>好人力量</w:t>
            </w:r>
          </w:p>
        </w:tc>
        <w:tc>
          <w:tcPr>
            <w:tcW w:w="4521" w:type="dxa"/>
            <w:vAlign w:val="center"/>
          </w:tcPr>
          <w:p>
            <w:pPr>
              <w:widowControl/>
              <w:rPr>
                <w:rFonts w:ascii="仿宋_GB2312" w:hAnsi="等线" w:eastAsia="仿宋_GB2312" w:cs="宋体"/>
                <w:color w:val="000000"/>
                <w:kern w:val="0"/>
                <w:sz w:val="24"/>
                <w:szCs w:val="24"/>
              </w:rPr>
            </w:pPr>
            <w:r>
              <w:rPr>
                <w:rFonts w:hint="eastAsia" w:ascii="仿宋_GB2312" w:hAnsi="等线" w:eastAsia="仿宋_GB2312" w:cs="Times New Roman"/>
                <w:color w:val="000000"/>
                <w:sz w:val="22"/>
                <w:szCs w:val="22"/>
              </w:rPr>
              <w:t>一个典型就是一面旗帜,一个好人就是一盏明灯。为做好新时代文明实践工作，传递道德正能量，形成见贤思齐的浓厚氛围，开设专题栏目《好人力量》。聚焦中国好人、全国道德模范、全国文明家庭等，大力弘扬“好人文化”，传承好人精神，汇聚向善力量，引领更多人加入好人行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4"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1</w:t>
            </w:r>
            <w:r>
              <w:rPr>
                <w:rFonts w:ascii="仿宋_GB2312" w:hAnsi="等线" w:eastAsia="仿宋_GB2312" w:cs="宋体"/>
                <w:color w:val="000000"/>
                <w:kern w:val="0"/>
                <w:sz w:val="24"/>
                <w:szCs w:val="24"/>
              </w:rPr>
              <w:t>0</w:t>
            </w:r>
          </w:p>
        </w:tc>
        <w:tc>
          <w:tcPr>
            <w:tcW w:w="1319"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Times New Roman"/>
                <w:szCs w:val="22"/>
              </w:rPr>
              <w:t>沛县台</w:t>
            </w:r>
          </w:p>
        </w:tc>
        <w:tc>
          <w:tcPr>
            <w:tcW w:w="3520"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Times New Roman"/>
                <w:szCs w:val="22"/>
              </w:rPr>
              <w:t>地方影像方志</w:t>
            </w:r>
          </w:p>
        </w:tc>
        <w:tc>
          <w:tcPr>
            <w:tcW w:w="4521" w:type="dxa"/>
            <w:vAlign w:val="center"/>
          </w:tcPr>
          <w:p>
            <w:pPr>
              <w:widowControl/>
              <w:rPr>
                <w:rFonts w:ascii="仿宋_GB2312" w:hAnsi="等线" w:eastAsia="仿宋_GB2312" w:cs="宋体"/>
                <w:color w:val="000000"/>
                <w:kern w:val="0"/>
                <w:sz w:val="24"/>
                <w:szCs w:val="24"/>
              </w:rPr>
            </w:pPr>
            <w:r>
              <w:rPr>
                <w:rFonts w:hint="eastAsia" w:ascii="仿宋_GB2312" w:hAnsi="等线" w:eastAsia="仿宋_GB2312" w:cs="Times New Roman"/>
                <w:color w:val="000000"/>
                <w:sz w:val="22"/>
                <w:szCs w:val="22"/>
              </w:rPr>
              <w:t>以沛县的人文、历史、发展作一个影像记录整理，从人文印记的角度解读沛县志，再从沛县志的角度彰显沛县历史文化风貌，以局部展示整体，打造一部沛县的“影像志”。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4"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1</w:t>
            </w:r>
            <w:r>
              <w:rPr>
                <w:rFonts w:ascii="仿宋_GB2312" w:hAnsi="等线" w:eastAsia="仿宋_GB2312" w:cs="宋体"/>
                <w:color w:val="000000"/>
                <w:kern w:val="0"/>
                <w:sz w:val="24"/>
                <w:szCs w:val="24"/>
              </w:rPr>
              <w:t>1</w:t>
            </w:r>
          </w:p>
        </w:tc>
        <w:tc>
          <w:tcPr>
            <w:tcW w:w="1319"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Times New Roman"/>
                <w:szCs w:val="22"/>
              </w:rPr>
              <w:t>泗阳县台</w:t>
            </w:r>
          </w:p>
        </w:tc>
        <w:tc>
          <w:tcPr>
            <w:tcW w:w="3520"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Times New Roman"/>
                <w:szCs w:val="22"/>
              </w:rPr>
              <w:t>乡村“艺术家”</w:t>
            </w:r>
          </w:p>
        </w:tc>
        <w:tc>
          <w:tcPr>
            <w:tcW w:w="4521" w:type="dxa"/>
            <w:vAlign w:val="center"/>
          </w:tcPr>
          <w:p>
            <w:pPr>
              <w:widowControl/>
              <w:rPr>
                <w:rFonts w:ascii="仿宋_GB2312" w:hAnsi="等线" w:eastAsia="仿宋_GB2312" w:cs="宋体"/>
                <w:color w:val="000000"/>
                <w:kern w:val="0"/>
                <w:sz w:val="24"/>
                <w:szCs w:val="24"/>
              </w:rPr>
            </w:pPr>
            <w:r>
              <w:rPr>
                <w:rFonts w:hint="eastAsia" w:ascii="仿宋_GB2312" w:hAnsi="等线" w:eastAsia="仿宋_GB2312" w:cs="Times New Roman"/>
                <w:color w:val="000000"/>
                <w:sz w:val="22"/>
                <w:szCs w:val="22"/>
              </w:rPr>
              <w:t>以乡村文化振兴为主题，展现乡村草根文化人物风采（书画、文艺类人物），讲述他们在新农村、新时代背景下的生活状态与艺术追求，通过他们的书画、文艺作品（含地方小戏等文化形式）反映新时代新农村的美好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04"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1</w:t>
            </w:r>
            <w:r>
              <w:rPr>
                <w:rFonts w:ascii="仿宋_GB2312" w:hAnsi="等线" w:eastAsia="仿宋_GB2312" w:cs="宋体"/>
                <w:color w:val="000000"/>
                <w:kern w:val="0"/>
                <w:sz w:val="24"/>
                <w:szCs w:val="24"/>
              </w:rPr>
              <w:t>2</w:t>
            </w:r>
          </w:p>
        </w:tc>
        <w:tc>
          <w:tcPr>
            <w:tcW w:w="1319"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Times New Roman"/>
                <w:szCs w:val="22"/>
              </w:rPr>
              <w:t>沭阳县台</w:t>
            </w:r>
          </w:p>
        </w:tc>
        <w:tc>
          <w:tcPr>
            <w:tcW w:w="3520"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Times New Roman"/>
                <w:szCs w:val="22"/>
              </w:rPr>
              <w:t>乡村里的“文化使者”</w:t>
            </w:r>
          </w:p>
        </w:tc>
        <w:tc>
          <w:tcPr>
            <w:tcW w:w="4521" w:type="dxa"/>
            <w:vAlign w:val="center"/>
          </w:tcPr>
          <w:p>
            <w:pPr>
              <w:widowControl/>
              <w:rPr>
                <w:rFonts w:ascii="仿宋_GB2312" w:hAnsi="等线" w:eastAsia="仿宋_GB2312" w:cs="宋体"/>
                <w:color w:val="000000"/>
                <w:kern w:val="0"/>
                <w:sz w:val="24"/>
                <w:szCs w:val="24"/>
              </w:rPr>
            </w:pPr>
            <w:r>
              <w:rPr>
                <w:rFonts w:hint="eastAsia" w:ascii="仿宋_GB2312" w:hAnsi="等线" w:eastAsia="仿宋_GB2312" w:cs="Times New Roman"/>
                <w:color w:val="000000"/>
                <w:sz w:val="22"/>
                <w:szCs w:val="22"/>
              </w:rPr>
              <w:t>以电视专题片的形式，宣传在传统文化保护和传承中默默奉献的乡村典型人物的感人事迹，引导更多的人投入到乡村文化振兴的行列，为弘扬中华民族优秀传统文化贡献力量。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4"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1</w:t>
            </w:r>
            <w:r>
              <w:rPr>
                <w:rFonts w:ascii="仿宋_GB2312" w:hAnsi="等线" w:eastAsia="仿宋_GB2312" w:cs="宋体"/>
                <w:color w:val="000000"/>
                <w:kern w:val="0"/>
                <w:sz w:val="24"/>
                <w:szCs w:val="24"/>
              </w:rPr>
              <w:t>3</w:t>
            </w:r>
          </w:p>
        </w:tc>
        <w:tc>
          <w:tcPr>
            <w:tcW w:w="1319"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Times New Roman"/>
                <w:szCs w:val="22"/>
              </w:rPr>
              <w:t>溧阳市台</w:t>
            </w:r>
          </w:p>
        </w:tc>
        <w:tc>
          <w:tcPr>
            <w:tcW w:w="3520"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Times New Roman"/>
                <w:szCs w:val="22"/>
              </w:rPr>
              <w:t>请到我们村里来做客</w:t>
            </w:r>
          </w:p>
        </w:tc>
        <w:tc>
          <w:tcPr>
            <w:tcW w:w="4521" w:type="dxa"/>
            <w:vAlign w:val="center"/>
          </w:tcPr>
          <w:p>
            <w:pPr>
              <w:widowControl/>
              <w:rPr>
                <w:rFonts w:ascii="仿宋_GB2312" w:hAnsi="等线" w:eastAsia="仿宋_GB2312" w:cs="宋体"/>
                <w:color w:val="000000"/>
                <w:kern w:val="0"/>
                <w:sz w:val="24"/>
                <w:szCs w:val="24"/>
              </w:rPr>
            </w:pPr>
            <w:r>
              <w:rPr>
                <w:rFonts w:hint="eastAsia" w:ascii="仿宋_GB2312" w:hAnsi="等线" w:eastAsia="仿宋_GB2312" w:cs="Times New Roman"/>
                <w:color w:val="000000"/>
                <w:sz w:val="22"/>
                <w:szCs w:val="22"/>
              </w:rPr>
              <w:t>随着乡村振兴战略的深入推进，特色田园乡村建设使新农村越来越美，休闲农业与乡村旅游的结合是当今旅游发展方向之一，具有强大的生机和广阔的前景。以短视频的形式宣传推介特色田园乡村，吸引周边城市游客来乡村旅游，体验新农村生活成为度假模式，提升村民和游客的幸福感、获得感和满足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4"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1</w:t>
            </w:r>
            <w:r>
              <w:rPr>
                <w:rFonts w:ascii="仿宋_GB2312" w:hAnsi="等线" w:eastAsia="仿宋_GB2312" w:cs="宋体"/>
                <w:color w:val="000000"/>
                <w:kern w:val="0"/>
                <w:sz w:val="24"/>
                <w:szCs w:val="24"/>
              </w:rPr>
              <w:t>4</w:t>
            </w:r>
          </w:p>
        </w:tc>
        <w:tc>
          <w:tcPr>
            <w:tcW w:w="1319"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Times New Roman"/>
                <w:szCs w:val="22"/>
              </w:rPr>
              <w:t>高淳区台</w:t>
            </w:r>
          </w:p>
        </w:tc>
        <w:tc>
          <w:tcPr>
            <w:tcW w:w="3520"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Times New Roman"/>
                <w:szCs w:val="22"/>
              </w:rPr>
              <w:t>风味四季</w:t>
            </w:r>
          </w:p>
        </w:tc>
        <w:tc>
          <w:tcPr>
            <w:tcW w:w="4521" w:type="dxa"/>
            <w:vAlign w:val="center"/>
          </w:tcPr>
          <w:p>
            <w:pPr>
              <w:widowControl/>
              <w:rPr>
                <w:rFonts w:ascii="仿宋_GB2312" w:hAnsi="等线" w:eastAsia="仿宋_GB2312" w:cs="宋体"/>
                <w:color w:val="000000"/>
                <w:kern w:val="0"/>
                <w:sz w:val="24"/>
                <w:szCs w:val="24"/>
              </w:rPr>
            </w:pPr>
            <w:r>
              <w:rPr>
                <w:rFonts w:hint="eastAsia" w:ascii="仿宋_GB2312" w:hAnsi="等线" w:eastAsia="仿宋_GB2312" w:cs="Times New Roman"/>
                <w:color w:val="000000"/>
                <w:sz w:val="22"/>
                <w:szCs w:val="22"/>
              </w:rPr>
              <w:t>以食为媒，探寻舌尖上的记忆，突出人文特色，弘扬传统饮食文化，宣传地方历史文化，打造旅游品牌。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4"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1</w:t>
            </w:r>
            <w:r>
              <w:rPr>
                <w:rFonts w:ascii="仿宋_GB2312" w:hAnsi="等线" w:eastAsia="仿宋_GB2312" w:cs="宋体"/>
                <w:color w:val="000000"/>
                <w:kern w:val="0"/>
                <w:sz w:val="24"/>
                <w:szCs w:val="24"/>
              </w:rPr>
              <w:t>5</w:t>
            </w:r>
          </w:p>
        </w:tc>
        <w:tc>
          <w:tcPr>
            <w:tcW w:w="1319" w:type="dxa"/>
            <w:noWrap/>
            <w:vAlign w:val="center"/>
          </w:tcPr>
          <w:p>
            <w:pPr>
              <w:widowControl/>
              <w:jc w:val="center"/>
              <w:rPr>
                <w:rFonts w:ascii="仿宋_GB2312" w:hAnsi="等线" w:eastAsia="仿宋_GB2312" w:cs="Times New Roman"/>
                <w:szCs w:val="22"/>
              </w:rPr>
            </w:pPr>
            <w:r>
              <w:rPr>
                <w:rFonts w:hint="eastAsia" w:ascii="仿宋_GB2312" w:hAnsi="等线" w:eastAsia="仿宋_GB2312" w:cs="Times New Roman"/>
                <w:szCs w:val="22"/>
              </w:rPr>
              <w:t>高邮市台</w:t>
            </w:r>
          </w:p>
        </w:tc>
        <w:tc>
          <w:tcPr>
            <w:tcW w:w="3520" w:type="dxa"/>
            <w:noWrap/>
            <w:vAlign w:val="center"/>
          </w:tcPr>
          <w:p>
            <w:pPr>
              <w:widowControl/>
              <w:jc w:val="center"/>
              <w:rPr>
                <w:rFonts w:ascii="仿宋_GB2312" w:hAnsi="等线" w:eastAsia="仿宋_GB2312" w:cs="Times New Roman"/>
                <w:szCs w:val="22"/>
              </w:rPr>
            </w:pPr>
            <w:r>
              <w:rPr>
                <w:rFonts w:hint="eastAsia" w:ascii="仿宋_GB2312" w:hAnsi="等线" w:eastAsia="仿宋_GB2312" w:cs="Times New Roman"/>
                <w:szCs w:val="22"/>
              </w:rPr>
              <w:t>他乡是故乡</w:t>
            </w:r>
          </w:p>
        </w:tc>
        <w:tc>
          <w:tcPr>
            <w:tcW w:w="4521" w:type="dxa"/>
            <w:vAlign w:val="bottom"/>
          </w:tcPr>
          <w:p>
            <w:pPr>
              <w:widowControl/>
              <w:rPr>
                <w:rFonts w:ascii="仿宋_GB2312" w:hAnsi="等线" w:eastAsia="仿宋_GB2312" w:cs="Times New Roman"/>
                <w:color w:val="000000"/>
                <w:sz w:val="22"/>
                <w:szCs w:val="22"/>
              </w:rPr>
            </w:pPr>
            <w:r>
              <w:rPr>
                <w:rFonts w:hint="eastAsia" w:ascii="仿宋_GB2312" w:hAnsi="等线" w:eastAsia="仿宋_GB2312" w:cs="Times New Roman"/>
                <w:color w:val="000000"/>
                <w:sz w:val="22"/>
                <w:szCs w:val="22"/>
              </w:rPr>
              <w:t>每座城市都有这样一群人，他们来自他乡，为了生活和梦想，在陌生的城市安家立业，扎根奋斗，把他乡视为故乡。他们有一个共同的名字，叫新（故乡）人。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4"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1</w:t>
            </w:r>
            <w:r>
              <w:rPr>
                <w:rFonts w:ascii="仿宋_GB2312" w:hAnsi="等线" w:eastAsia="仿宋_GB2312" w:cs="宋体"/>
                <w:color w:val="000000"/>
                <w:kern w:val="0"/>
                <w:sz w:val="24"/>
                <w:szCs w:val="24"/>
              </w:rPr>
              <w:t>6</w:t>
            </w:r>
          </w:p>
        </w:tc>
        <w:tc>
          <w:tcPr>
            <w:tcW w:w="1319" w:type="dxa"/>
            <w:noWrap/>
            <w:vAlign w:val="center"/>
          </w:tcPr>
          <w:p>
            <w:pPr>
              <w:widowControl/>
              <w:jc w:val="center"/>
              <w:rPr>
                <w:rFonts w:ascii="仿宋_GB2312" w:hAnsi="等线" w:eastAsia="仿宋_GB2312" w:cs="Times New Roman"/>
                <w:szCs w:val="22"/>
              </w:rPr>
            </w:pPr>
            <w:r>
              <w:rPr>
                <w:rFonts w:hint="eastAsia" w:ascii="仿宋_GB2312" w:hAnsi="等线" w:eastAsia="仿宋_GB2312" w:cs="Times New Roman"/>
                <w:szCs w:val="22"/>
              </w:rPr>
              <w:t>泗阳县台</w:t>
            </w:r>
          </w:p>
        </w:tc>
        <w:tc>
          <w:tcPr>
            <w:tcW w:w="3520" w:type="dxa"/>
            <w:noWrap/>
            <w:vAlign w:val="center"/>
          </w:tcPr>
          <w:p>
            <w:pPr>
              <w:widowControl/>
              <w:jc w:val="center"/>
              <w:rPr>
                <w:rFonts w:ascii="仿宋_GB2312" w:hAnsi="等线" w:eastAsia="仿宋_GB2312" w:cs="Times New Roman"/>
                <w:szCs w:val="22"/>
              </w:rPr>
            </w:pPr>
            <w:r>
              <w:rPr>
                <w:rFonts w:hint="eastAsia" w:ascii="仿宋_GB2312" w:hAnsi="等线" w:eastAsia="仿宋_GB2312" w:cs="Times New Roman"/>
                <w:szCs w:val="22"/>
              </w:rPr>
              <w:t>咱是新农人</w:t>
            </w:r>
          </w:p>
        </w:tc>
        <w:tc>
          <w:tcPr>
            <w:tcW w:w="4521" w:type="dxa"/>
            <w:vAlign w:val="bottom"/>
          </w:tcPr>
          <w:p>
            <w:pPr>
              <w:widowControl/>
              <w:rPr>
                <w:rFonts w:ascii="仿宋_GB2312" w:hAnsi="等线" w:eastAsia="仿宋_GB2312" w:cs="Times New Roman"/>
                <w:color w:val="000000"/>
                <w:sz w:val="22"/>
                <w:szCs w:val="22"/>
              </w:rPr>
            </w:pPr>
            <w:r>
              <w:rPr>
                <w:rFonts w:hint="eastAsia" w:ascii="仿宋_GB2312" w:hAnsi="等线" w:eastAsia="仿宋_GB2312" w:cs="Times New Roman"/>
                <w:color w:val="000000"/>
                <w:sz w:val="22"/>
                <w:szCs w:val="22"/>
              </w:rPr>
              <w:t>在乡村振兴大潮中，涌现出越来越多的新型农民——“新农人”，他们既要建设好美丽宜居的家园，又要把握市场经济的规律，生产适销对路的农产品，带领乡亲共同富裕。通过短视频跟拍，记录新农人的生产经营方式、奋斗中的苦与乐，展现社会主义新农村建设的新风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4"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1</w:t>
            </w:r>
            <w:r>
              <w:rPr>
                <w:rFonts w:ascii="仿宋_GB2312" w:hAnsi="等线" w:eastAsia="仿宋_GB2312" w:cs="宋体"/>
                <w:color w:val="000000"/>
                <w:kern w:val="0"/>
                <w:sz w:val="24"/>
                <w:szCs w:val="24"/>
              </w:rPr>
              <w:t>7</w:t>
            </w:r>
          </w:p>
        </w:tc>
        <w:tc>
          <w:tcPr>
            <w:tcW w:w="1319" w:type="dxa"/>
            <w:noWrap/>
            <w:vAlign w:val="center"/>
          </w:tcPr>
          <w:p>
            <w:pPr>
              <w:widowControl/>
              <w:jc w:val="center"/>
              <w:rPr>
                <w:rFonts w:ascii="仿宋_GB2312" w:hAnsi="等线" w:eastAsia="仿宋_GB2312" w:cs="Times New Roman"/>
                <w:szCs w:val="22"/>
              </w:rPr>
            </w:pPr>
            <w:r>
              <w:rPr>
                <w:rFonts w:hint="eastAsia" w:ascii="仿宋_GB2312" w:hAnsi="等线" w:eastAsia="仿宋_GB2312" w:cs="Times New Roman"/>
                <w:szCs w:val="22"/>
              </w:rPr>
              <w:t>张家港市台</w:t>
            </w:r>
          </w:p>
        </w:tc>
        <w:tc>
          <w:tcPr>
            <w:tcW w:w="3520" w:type="dxa"/>
            <w:noWrap/>
            <w:vAlign w:val="center"/>
          </w:tcPr>
          <w:p>
            <w:pPr>
              <w:widowControl/>
              <w:jc w:val="center"/>
              <w:rPr>
                <w:rFonts w:ascii="仿宋_GB2312" w:hAnsi="等线" w:eastAsia="仿宋_GB2312" w:cs="Times New Roman"/>
                <w:szCs w:val="22"/>
              </w:rPr>
            </w:pPr>
            <w:r>
              <w:rPr>
                <w:rFonts w:hint="eastAsia" w:ascii="仿宋_GB2312" w:hAnsi="等线" w:eastAsia="仿宋_GB2312" w:cs="Times New Roman"/>
                <w:szCs w:val="22"/>
              </w:rPr>
              <w:t>家族与家风</w:t>
            </w:r>
          </w:p>
        </w:tc>
        <w:tc>
          <w:tcPr>
            <w:tcW w:w="4521" w:type="dxa"/>
            <w:vAlign w:val="bottom"/>
          </w:tcPr>
          <w:p>
            <w:pPr>
              <w:widowControl/>
              <w:rPr>
                <w:rFonts w:ascii="仿宋_GB2312" w:hAnsi="等线" w:eastAsia="仿宋_GB2312" w:cs="Times New Roman"/>
                <w:color w:val="000000"/>
                <w:sz w:val="22"/>
                <w:szCs w:val="22"/>
              </w:rPr>
            </w:pPr>
            <w:r>
              <w:rPr>
                <w:rFonts w:hint="eastAsia" w:ascii="仿宋_GB2312" w:hAnsi="等线" w:eastAsia="仿宋_GB2312" w:cs="Times New Roman"/>
                <w:color w:val="000000"/>
                <w:sz w:val="22"/>
                <w:szCs w:val="22"/>
              </w:rPr>
              <w:t>在城市发展漫长历史进程中 ，先辈们生息繁衍，形成了众多绵延数代、令乡人景仰的家族，他们有着规范的家训、严格的家教，有着践行家训、率先垂范的代表人物。家是小小国，国是千万家，家风之优劣，不仅关系到家庭美满和谐，关系到地方民风乡风，更关系到国家和民族的安定团结。考察境内各大家族的渊源与发展，探究其丰富内涵和人物事迹，由文史工作者倾情讲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4"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1</w:t>
            </w:r>
            <w:r>
              <w:rPr>
                <w:rFonts w:ascii="仿宋_GB2312" w:hAnsi="等线" w:eastAsia="仿宋_GB2312" w:cs="宋体"/>
                <w:color w:val="000000"/>
                <w:kern w:val="0"/>
                <w:sz w:val="24"/>
                <w:szCs w:val="24"/>
              </w:rPr>
              <w:t>8</w:t>
            </w:r>
          </w:p>
        </w:tc>
        <w:tc>
          <w:tcPr>
            <w:tcW w:w="1319" w:type="dxa"/>
            <w:noWrap/>
            <w:vAlign w:val="center"/>
          </w:tcPr>
          <w:p>
            <w:pPr>
              <w:widowControl/>
              <w:jc w:val="center"/>
              <w:rPr>
                <w:rFonts w:ascii="仿宋_GB2312" w:hAnsi="等线" w:eastAsia="仿宋_GB2312" w:cs="Times New Roman"/>
                <w:szCs w:val="22"/>
              </w:rPr>
            </w:pPr>
            <w:r>
              <w:rPr>
                <w:rFonts w:hint="eastAsia" w:ascii="仿宋_GB2312" w:hAnsi="等线" w:eastAsia="仿宋_GB2312" w:cs="Times New Roman"/>
                <w:szCs w:val="22"/>
              </w:rPr>
              <w:t>灌云县台</w:t>
            </w:r>
          </w:p>
        </w:tc>
        <w:tc>
          <w:tcPr>
            <w:tcW w:w="3520" w:type="dxa"/>
            <w:noWrap/>
            <w:vAlign w:val="center"/>
          </w:tcPr>
          <w:p>
            <w:pPr>
              <w:widowControl/>
              <w:jc w:val="center"/>
              <w:rPr>
                <w:rFonts w:ascii="仿宋_GB2312" w:hAnsi="等线" w:eastAsia="仿宋_GB2312" w:cs="Times New Roman"/>
                <w:szCs w:val="22"/>
              </w:rPr>
            </w:pPr>
            <w:r>
              <w:rPr>
                <w:rFonts w:hint="eastAsia" w:ascii="仿宋_GB2312" w:hAnsi="等线" w:eastAsia="仿宋_GB2312" w:cs="Times New Roman"/>
                <w:szCs w:val="22"/>
              </w:rPr>
              <w:t>乡村振兴的“擎旗手”</w:t>
            </w:r>
          </w:p>
        </w:tc>
        <w:tc>
          <w:tcPr>
            <w:tcW w:w="4521" w:type="dxa"/>
            <w:vAlign w:val="bottom"/>
          </w:tcPr>
          <w:p>
            <w:pPr>
              <w:widowControl/>
              <w:rPr>
                <w:rFonts w:ascii="仿宋_GB2312" w:hAnsi="等线" w:eastAsia="仿宋_GB2312" w:cs="Times New Roman"/>
                <w:color w:val="000000"/>
                <w:sz w:val="22"/>
                <w:szCs w:val="22"/>
              </w:rPr>
            </w:pPr>
            <w:r>
              <w:rPr>
                <w:rFonts w:hint="eastAsia" w:ascii="仿宋_GB2312" w:hAnsi="等线" w:eastAsia="仿宋_GB2312" w:cs="Times New Roman"/>
                <w:color w:val="000000"/>
                <w:sz w:val="22"/>
                <w:szCs w:val="22"/>
              </w:rPr>
              <w:t>以电视专题片的形式，展现十八大以来在乡村振兴过程中默默奉献、带领村民发家致富的乡村典型人物的感人事迹，引导更多的人投入到乡村振兴的行列，为献礼二十大，实现中华民族伟大复兴贡献力量。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4"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1</w:t>
            </w:r>
            <w:r>
              <w:rPr>
                <w:rFonts w:ascii="仿宋_GB2312" w:hAnsi="等线" w:eastAsia="仿宋_GB2312" w:cs="宋体"/>
                <w:color w:val="000000"/>
                <w:kern w:val="0"/>
                <w:sz w:val="24"/>
                <w:szCs w:val="24"/>
              </w:rPr>
              <w:t>9</w:t>
            </w:r>
          </w:p>
        </w:tc>
        <w:tc>
          <w:tcPr>
            <w:tcW w:w="1319" w:type="dxa"/>
            <w:noWrap/>
            <w:vAlign w:val="center"/>
          </w:tcPr>
          <w:p>
            <w:pPr>
              <w:widowControl/>
              <w:jc w:val="center"/>
              <w:rPr>
                <w:rFonts w:ascii="仿宋_GB2312" w:hAnsi="等线" w:eastAsia="仿宋_GB2312" w:cs="Times New Roman"/>
                <w:szCs w:val="22"/>
              </w:rPr>
            </w:pPr>
            <w:r>
              <w:rPr>
                <w:rFonts w:hint="eastAsia" w:ascii="仿宋_GB2312" w:hAnsi="等线" w:eastAsia="仿宋_GB2312" w:cs="Times New Roman"/>
                <w:szCs w:val="22"/>
              </w:rPr>
              <w:t>灌云县台</w:t>
            </w:r>
          </w:p>
        </w:tc>
        <w:tc>
          <w:tcPr>
            <w:tcW w:w="3520" w:type="dxa"/>
            <w:noWrap/>
            <w:vAlign w:val="center"/>
          </w:tcPr>
          <w:p>
            <w:pPr>
              <w:widowControl/>
              <w:jc w:val="center"/>
              <w:rPr>
                <w:rFonts w:ascii="仿宋_GB2312" w:hAnsi="等线" w:eastAsia="仿宋_GB2312" w:cs="Times New Roman"/>
                <w:szCs w:val="22"/>
              </w:rPr>
            </w:pPr>
            <w:r>
              <w:rPr>
                <w:rFonts w:hint="eastAsia" w:ascii="仿宋_GB2312" w:hAnsi="等线" w:eastAsia="仿宋_GB2312" w:cs="Times New Roman"/>
                <w:szCs w:val="22"/>
              </w:rPr>
              <w:t>老手艺  老行当</w:t>
            </w:r>
          </w:p>
        </w:tc>
        <w:tc>
          <w:tcPr>
            <w:tcW w:w="4521" w:type="dxa"/>
            <w:vAlign w:val="bottom"/>
          </w:tcPr>
          <w:p>
            <w:pPr>
              <w:widowControl/>
              <w:rPr>
                <w:rFonts w:ascii="仿宋_GB2312" w:hAnsi="等线" w:eastAsia="仿宋_GB2312" w:cs="Times New Roman"/>
                <w:color w:val="000000"/>
                <w:sz w:val="22"/>
                <w:szCs w:val="22"/>
              </w:rPr>
            </w:pPr>
            <w:r>
              <w:rPr>
                <w:rFonts w:hint="eastAsia" w:ascii="仿宋_GB2312" w:hAnsi="等线" w:eastAsia="仿宋_GB2312" w:cs="Times New Roman"/>
                <w:color w:val="000000"/>
                <w:sz w:val="22"/>
                <w:szCs w:val="22"/>
              </w:rPr>
              <w:t>以电视专题片的形式，通过一个个身处繁华闹市却远离时尚，远离潮流，守着老摊子，操持着老手艺，从事一份老营生的普通人身上，展现他们对于老行当，老手艺的挚爱，让观众意识到今天的美好生活来之不易，点燃大家的爱国热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4" w:type="dxa"/>
            <w:noWrap/>
            <w:vAlign w:val="center"/>
          </w:tcPr>
          <w:p>
            <w:pPr>
              <w:widowControl/>
              <w:jc w:val="center"/>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2</w:t>
            </w:r>
            <w:r>
              <w:rPr>
                <w:rFonts w:ascii="仿宋_GB2312" w:hAnsi="等线" w:eastAsia="仿宋_GB2312" w:cs="宋体"/>
                <w:color w:val="000000"/>
                <w:kern w:val="0"/>
                <w:sz w:val="24"/>
                <w:szCs w:val="24"/>
              </w:rPr>
              <w:t>0</w:t>
            </w:r>
          </w:p>
        </w:tc>
        <w:tc>
          <w:tcPr>
            <w:tcW w:w="1319" w:type="dxa"/>
            <w:noWrap/>
            <w:vAlign w:val="center"/>
          </w:tcPr>
          <w:p>
            <w:pPr>
              <w:widowControl/>
              <w:jc w:val="center"/>
              <w:rPr>
                <w:rFonts w:ascii="仿宋_GB2312" w:hAnsi="等线" w:eastAsia="仿宋_GB2312" w:cs="Times New Roman"/>
                <w:szCs w:val="22"/>
              </w:rPr>
            </w:pPr>
            <w:r>
              <w:rPr>
                <w:rFonts w:hint="eastAsia" w:ascii="仿宋_GB2312" w:hAnsi="等线" w:eastAsia="仿宋_GB2312" w:cs="Times New Roman"/>
                <w:szCs w:val="22"/>
              </w:rPr>
              <w:t>灌云县台</w:t>
            </w:r>
          </w:p>
        </w:tc>
        <w:tc>
          <w:tcPr>
            <w:tcW w:w="3520" w:type="dxa"/>
            <w:noWrap/>
            <w:vAlign w:val="center"/>
          </w:tcPr>
          <w:p>
            <w:pPr>
              <w:widowControl/>
              <w:jc w:val="center"/>
              <w:rPr>
                <w:rFonts w:ascii="仿宋_GB2312" w:hAnsi="等线" w:eastAsia="仿宋_GB2312" w:cs="Times New Roman"/>
                <w:szCs w:val="22"/>
              </w:rPr>
            </w:pPr>
            <w:r>
              <w:rPr>
                <w:rFonts w:hint="eastAsia" w:ascii="仿宋_GB2312" w:hAnsi="等线" w:eastAsia="仿宋_GB2312" w:cs="Times New Roman"/>
                <w:szCs w:val="22"/>
              </w:rPr>
              <w:t>乡情乡味</w:t>
            </w:r>
          </w:p>
        </w:tc>
        <w:tc>
          <w:tcPr>
            <w:tcW w:w="4521" w:type="dxa"/>
            <w:vAlign w:val="bottom"/>
          </w:tcPr>
          <w:p>
            <w:pPr>
              <w:widowControl/>
              <w:rPr>
                <w:rFonts w:ascii="仿宋_GB2312" w:hAnsi="等线" w:eastAsia="仿宋_GB2312" w:cs="Times New Roman"/>
                <w:color w:val="000000"/>
                <w:sz w:val="22"/>
                <w:szCs w:val="22"/>
              </w:rPr>
            </w:pPr>
            <w:r>
              <w:rPr>
                <w:rFonts w:hint="eastAsia" w:ascii="仿宋_GB2312" w:hAnsi="等线" w:eastAsia="仿宋_GB2312" w:cs="Times New Roman"/>
                <w:color w:val="000000"/>
                <w:sz w:val="22"/>
                <w:szCs w:val="22"/>
              </w:rPr>
              <w:t>在每个人的记忆里，都会多多少少留下儿时的乡味，随着时光的流逝，家乡的味道渐渐地酝酿成难以割舍的乡情，变成剪不断理还乱的乡愁。本系列以电视专题片的形式展现江苏省内各具地方特色的乡村魅力，通过一个个鲜活的人物故事情节呈现出最难以忘怀的乡情乡味。</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黑体_GBK">
    <w:altName w:val="微软雅黑"/>
    <w:panose1 w:val="03000509000000000000"/>
    <w:charset w:val="86"/>
    <w:family w:val="auto"/>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C531ED"/>
    <w:rsid w:val="13C531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2022-02-11T06:57:00Z</dcterms:created>
  <dc:creator>仇乐</dc:creator>
  <cp:lastModifiedBy>仇乐</cp:lastModifiedBy>
  <dcterms:modified xsi:type="dcterms:W3CDTF">2022-02-11T06:58:06Z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