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utoSpaceDE/>
        <w:autoSpaceDN/>
        <w:snapToGrid/>
        <w:spacing w:line="640" w:lineRule="exact"/>
        <w:ind w:firstLine="0"/>
        <w:rPr>
          <w:rFonts w:hint="default" w:ascii="Times New Roman" w:hAnsi="Times New Roman" w:eastAsia="方正黑体_GBK" w:cs="Times New Roman"/>
          <w:snapToGrid/>
          <w:szCs w:val="32"/>
        </w:rPr>
      </w:pPr>
      <w:r>
        <w:rPr>
          <w:rFonts w:hint="default" w:ascii="Times New Roman" w:hAnsi="Times New Roman" w:eastAsia="方正黑体_GBK" w:cs="Times New Roman"/>
          <w:snapToGrid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 w:val="0"/>
          <w:snapToGrid/>
          <w:kern w:val="2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40" w:lineRule="exact"/>
        <w:ind w:firstLine="0"/>
        <w:jc w:val="center"/>
        <w:textAlignment w:val="auto"/>
        <w:rPr>
          <w:rFonts w:ascii="仿宋" w:hAnsi="仿宋" w:eastAsia="仿宋" w:cs="仿宋"/>
          <w:b/>
          <w:bCs/>
          <w:snapToGrid/>
          <w:kern w:val="2"/>
          <w:sz w:val="36"/>
          <w:szCs w:val="36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napToGrid/>
          <w:kern w:val="2"/>
          <w:sz w:val="44"/>
          <w:szCs w:val="44"/>
        </w:rPr>
        <w:t>疫情防控工作要求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0"/>
        <w:jc w:val="center"/>
        <w:textAlignment w:val="auto"/>
        <w:rPr>
          <w:rFonts w:hint="default" w:ascii="Times New Roman" w:hAnsi="Times New Roman" w:eastAsia="方正仿宋_GBK" w:cs="Times New Roman"/>
          <w:b/>
          <w:bCs/>
          <w:snapToGrid/>
          <w:kern w:val="2"/>
          <w:sz w:val="36"/>
          <w:szCs w:val="36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根据新冠肺炎疫情防控要求，为确保参</w:t>
      </w:r>
      <w:r>
        <w:rPr>
          <w:rFonts w:hint="eastAsia" w:cs="Times New Roman"/>
          <w:snapToGrid/>
          <w:kern w:val="2"/>
          <w:szCs w:val="32"/>
          <w:lang w:eastAsia="zh-CN"/>
        </w:rPr>
        <w:t>加</w:t>
      </w: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活动人员健康安全，按照“谁派出、谁监测、谁负责”的原则，做好以下疫</w:t>
      </w:r>
      <w:bookmarkStart w:id="0" w:name="_GoBack"/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情防控工作。</w:t>
      </w:r>
    </w:p>
    <w:bookmarkEnd w:id="0"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一、流行病学史筛查。在活动前7天内有境内中高风险地区、境外旅行史和居住史，或被判定为新型冠状病毒感染者（确诊病例和无症状感染者）密切接触者，原则上不得参加活动，已治愈出院的确诊病例和已解除集中隔离医学观察的无症状感染者，尚在随访及医学观察期内的，不得参加活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二、健康监测。参</w:t>
      </w:r>
      <w:r>
        <w:rPr>
          <w:rFonts w:hint="eastAsia" w:cs="Times New Roman"/>
          <w:snapToGrid/>
          <w:kern w:val="2"/>
          <w:szCs w:val="32"/>
          <w:lang w:eastAsia="zh-CN"/>
        </w:rPr>
        <w:t>加</w:t>
      </w: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活动人员自接到决赛通知至活动结束期内，应自行做好健康监测。一旦出现发热、寒战、乏力、咳嗽、流涕、咽痛、腹泻、呕吐、胸闷、嗅觉或味觉减退等症状，须及时就诊并告知工作组，服从调整安排。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Times New Roman" w:hAnsi="Times New Roman" w:eastAsia="方正仿宋_GBK" w:cs="Times New Roman"/>
          <w:snapToGrid/>
          <w:kern w:val="2"/>
          <w:szCs w:val="32"/>
        </w:rPr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三、报到时乘坐公共交通工具的，应严格做好个人防护，全程佩戴口罩，注意保持手部卫生，尽量保持与其他人员的距离，减少人员密集场所停留时间。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</w:pP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四、报到时，参</w:t>
      </w:r>
      <w:r>
        <w:rPr>
          <w:rFonts w:hint="eastAsia" w:cs="Times New Roman"/>
          <w:snapToGrid/>
          <w:kern w:val="2"/>
          <w:szCs w:val="32"/>
          <w:lang w:eastAsia="zh-CN"/>
        </w:rPr>
        <w:t>加</w:t>
      </w:r>
      <w:r>
        <w:rPr>
          <w:rFonts w:hint="default" w:ascii="Times New Roman" w:hAnsi="Times New Roman" w:eastAsia="方正仿宋_GBK" w:cs="Times New Roman"/>
          <w:snapToGrid/>
          <w:kern w:val="2"/>
          <w:szCs w:val="32"/>
        </w:rPr>
        <w:t>活动人员需主动出示健康码、行程码，接受体温测量，佩戴口罩；活动期间须全程佩戴普通医用外科口罩。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2591B"/>
    <w:rsid w:val="6F12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Times New Roman" w:hAnsi="Times New Roman" w:eastAsia="方正仿宋_GBK" w:cs="Times New Roman"/>
      <w:snapToGrid w:val="0"/>
      <w:sz w:val="3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2022-07-27T00:42:00Z</dcterms:created>
  <dc:creator>仇乐</dc:creator>
  <cp:lastModifiedBy>仇乐</cp:lastModifiedBy>
  <dcterms:modified xsi:type="dcterms:W3CDTF">2022-07-27T00:46:12Z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