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0FF5" w:rsidRPr="00A2513D" w:rsidRDefault="000B6B8E">
      <w:pPr>
        <w:spacing w:line="360" w:lineRule="auto"/>
        <w:rPr>
          <w:rFonts w:ascii="黑体" w:eastAsia="黑体" w:hAnsi="黑体" w:cs="方正黑体"/>
          <w:color w:val="000000"/>
          <w:sz w:val="32"/>
          <w:szCs w:val="32"/>
        </w:rPr>
      </w:pPr>
      <w:r w:rsidRPr="00A2513D">
        <w:rPr>
          <w:rFonts w:ascii="黑体" w:eastAsia="黑体" w:hAnsi="黑体" w:cs="方正黑体" w:hint="eastAsia"/>
          <w:color w:val="000000"/>
          <w:sz w:val="32"/>
          <w:szCs w:val="32"/>
        </w:rPr>
        <w:t>附件1</w:t>
      </w:r>
    </w:p>
    <w:p w:rsidR="00F10FF5" w:rsidRDefault="00F10FF5" w:rsidP="00A2513D">
      <w:pPr>
        <w:spacing w:line="360" w:lineRule="auto"/>
        <w:rPr>
          <w:rFonts w:ascii="方正小标宋_GBK" w:eastAsia="方正小标宋_GBK" w:hAnsi="方正小标宋_GBK" w:cs="方正小标宋_GBK"/>
          <w:b/>
          <w:bCs/>
          <w:color w:val="000000"/>
          <w:sz w:val="36"/>
          <w:szCs w:val="36"/>
        </w:rPr>
      </w:pPr>
    </w:p>
    <w:p w:rsidR="00F10FF5" w:rsidRDefault="000B6B8E">
      <w:pPr>
        <w:spacing w:line="360" w:lineRule="auto"/>
        <w:jc w:val="center"/>
        <w:rPr>
          <w:rFonts w:ascii="方正小标宋_GBK" w:eastAsia="方正小标宋_GBK" w:hAnsi="方正小标宋_GBK" w:cs="方正小标宋_GBK"/>
          <w:b/>
          <w:bCs/>
          <w:color w:val="000000"/>
          <w:sz w:val="36"/>
          <w:szCs w:val="36"/>
        </w:rPr>
      </w:pPr>
      <w:r>
        <w:rPr>
          <w:rFonts w:ascii="华文中宋" w:eastAsia="华文中宋" w:hAnsi="华文中宋" w:cs="华文中宋" w:hint="eastAsia"/>
          <w:b/>
          <w:bCs/>
          <w:color w:val="000000"/>
          <w:sz w:val="36"/>
          <w:szCs w:val="36"/>
        </w:rPr>
        <w:t>2020年度优秀网络视听作品推选活动参评须知</w:t>
      </w:r>
    </w:p>
    <w:p w:rsidR="00F10FF5" w:rsidRDefault="00F10FF5">
      <w:pPr>
        <w:spacing w:line="360" w:lineRule="auto"/>
        <w:jc w:val="center"/>
        <w:rPr>
          <w:rFonts w:ascii="仿宋" w:eastAsia="仿宋" w:hAnsi="仿宋"/>
          <w:b/>
          <w:bCs/>
          <w:color w:val="000000"/>
          <w:sz w:val="36"/>
          <w:szCs w:val="36"/>
        </w:rPr>
      </w:pPr>
    </w:p>
    <w:p w:rsidR="00F10FF5" w:rsidRDefault="000B6B8E">
      <w:pPr>
        <w:ind w:firstLine="640"/>
        <w:rPr>
          <w:rFonts w:ascii="仿宋_GB2312" w:eastAsia="仿宋_GB2312" w:hAnsiTheme="minorHAnsi" w:cstheme="minorBidi"/>
          <w:color w:val="000000"/>
          <w:sz w:val="32"/>
          <w:szCs w:val="32"/>
        </w:rPr>
      </w:pPr>
      <w:r>
        <w:rPr>
          <w:rFonts w:ascii="方正黑体" w:eastAsia="方正黑体" w:hAnsi="方正黑体" w:cs="方正黑体" w:hint="eastAsia"/>
          <w:color w:val="000000"/>
          <w:sz w:val="32"/>
          <w:szCs w:val="32"/>
        </w:rPr>
        <w:t>一、优秀项目设置</w:t>
      </w:r>
    </w:p>
    <w:p w:rsidR="00F10FF5" w:rsidRDefault="000B6B8E">
      <w:pPr>
        <w:ind w:firstLine="640"/>
        <w:rPr>
          <w:rFonts w:ascii="仿宋_GB2312" w:eastAsia="仿宋_GB2312" w:hAnsiTheme="minorHAnsi" w:cstheme="minorBidi"/>
          <w:color w:val="000000"/>
          <w:sz w:val="32"/>
          <w:szCs w:val="32"/>
        </w:rPr>
      </w:pPr>
      <w:r>
        <w:rPr>
          <w:rFonts w:ascii="仿宋_GB2312" w:eastAsia="仿宋_GB2312" w:hAnsiTheme="minorHAnsi" w:cstheme="minorBidi" w:hint="eastAsia"/>
          <w:color w:val="000000"/>
          <w:sz w:val="32"/>
          <w:szCs w:val="32"/>
        </w:rPr>
        <w:t xml:space="preserve">本次活动优秀项目设置如下（最终优秀项目可根据报送作品的情况调整）： </w:t>
      </w:r>
    </w:p>
    <w:tbl>
      <w:tblPr>
        <w:tblW w:w="8175" w:type="dxa"/>
        <w:jc w:val="center"/>
        <w:tblBorders>
          <w:top w:val="single" w:sz="8" w:space="0" w:color="000000"/>
          <w:left w:val="single" w:sz="8" w:space="0" w:color="000000"/>
          <w:bottom w:val="single" w:sz="8" w:space="0" w:color="000000"/>
          <w:right w:val="single" w:sz="8" w:space="0" w:color="000000"/>
        </w:tblBorders>
        <w:tblLayout w:type="fixed"/>
        <w:tblLook w:val="04A0" w:firstRow="1" w:lastRow="0" w:firstColumn="1" w:lastColumn="0" w:noHBand="0" w:noVBand="1"/>
      </w:tblPr>
      <w:tblGrid>
        <w:gridCol w:w="1920"/>
        <w:gridCol w:w="6255"/>
      </w:tblGrid>
      <w:tr w:rsidR="00F10FF5" w:rsidTr="00B83953">
        <w:trPr>
          <w:trHeight w:val="654"/>
          <w:jc w:val="center"/>
        </w:trPr>
        <w:tc>
          <w:tcPr>
            <w:tcW w:w="1920"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jc w:val="center"/>
              <w:rPr>
                <w:rFonts w:ascii="仿宋_GB2312" w:eastAsia="仿宋_GB2312" w:hAnsi="仿宋_GB2312" w:cs="仿宋_GB2312"/>
                <w:b/>
                <w:bCs/>
                <w:color w:val="000000"/>
                <w:kern w:val="0"/>
                <w:sz w:val="24"/>
                <w:szCs w:val="24"/>
              </w:rPr>
            </w:pPr>
            <w:bookmarkStart w:id="0" w:name="_Hlk949255"/>
            <w:r>
              <w:rPr>
                <w:rFonts w:ascii="仿宋_GB2312" w:eastAsia="仿宋_GB2312" w:hAnsi="仿宋_GB2312" w:cs="仿宋_GB2312" w:hint="eastAsia"/>
                <w:b/>
                <w:bCs/>
                <w:color w:val="000000"/>
                <w:kern w:val="0"/>
                <w:sz w:val="24"/>
              </w:rPr>
              <w:t>单元</w:t>
            </w: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jc w:val="center"/>
              <w:rPr>
                <w:rFonts w:ascii="仿宋_GB2312" w:eastAsia="仿宋_GB2312" w:hAnsi="仿宋_GB2312" w:cs="仿宋_GB2312"/>
                <w:b/>
                <w:bCs/>
                <w:color w:val="000000"/>
                <w:kern w:val="0"/>
                <w:sz w:val="24"/>
              </w:rPr>
            </w:pPr>
            <w:r>
              <w:rPr>
                <w:rFonts w:ascii="仿宋_GB2312" w:eastAsia="仿宋_GB2312" w:hAnsi="仿宋_GB2312" w:cs="仿宋_GB2312" w:hint="eastAsia"/>
                <w:b/>
                <w:bCs/>
                <w:color w:val="000000"/>
                <w:kern w:val="0"/>
                <w:sz w:val="24"/>
              </w:rPr>
              <w:t>项目</w:t>
            </w:r>
          </w:p>
        </w:tc>
      </w:tr>
      <w:tr w:rsidR="00F10FF5" w:rsidTr="00B83953">
        <w:trPr>
          <w:trHeight w:val="514"/>
          <w:jc w:val="center"/>
        </w:trPr>
        <w:tc>
          <w:tcPr>
            <w:tcW w:w="1920" w:type="dxa"/>
            <w:vMerge w:val="restart"/>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jc w:val="center"/>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剧情类单元</w:t>
            </w: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年度优秀网络剧</w:t>
            </w:r>
          </w:p>
        </w:tc>
      </w:tr>
      <w:tr w:rsidR="00F10FF5" w:rsidTr="00B83953">
        <w:trPr>
          <w:trHeight w:val="548"/>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年度优秀网络电影长片</w:t>
            </w:r>
          </w:p>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rPr>
              <w:t>（60分钟以上）</w:t>
            </w:r>
          </w:p>
        </w:tc>
      </w:tr>
      <w:tr w:rsidR="00F10FF5" w:rsidTr="00B83953">
        <w:trPr>
          <w:trHeight w:val="548"/>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年度优秀网络电影短片</w:t>
            </w:r>
          </w:p>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rPr>
              <w:t>（60分钟以下）</w:t>
            </w:r>
          </w:p>
        </w:tc>
      </w:tr>
      <w:tr w:rsidR="00F10FF5" w:rsidTr="00B83953">
        <w:trPr>
          <w:trHeight w:val="548"/>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年度优秀影视单项</w:t>
            </w:r>
          </w:p>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rPr>
              <w:t>（导演、编剧、男女演员）</w:t>
            </w:r>
          </w:p>
        </w:tc>
      </w:tr>
      <w:tr w:rsidR="00F10FF5" w:rsidTr="00B83953">
        <w:trPr>
          <w:trHeight w:val="548"/>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年度优秀网络动画片</w:t>
            </w:r>
          </w:p>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rPr>
              <w:t>（系列片2部、短片1部）</w:t>
            </w:r>
          </w:p>
        </w:tc>
      </w:tr>
      <w:tr w:rsidR="00F10FF5" w:rsidTr="00B83953">
        <w:trPr>
          <w:trHeight w:val="548"/>
          <w:jc w:val="center"/>
        </w:trPr>
        <w:tc>
          <w:tcPr>
            <w:tcW w:w="1920" w:type="dxa"/>
            <w:vMerge w:val="restart"/>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jc w:val="center"/>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非剧情类单元</w:t>
            </w: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年度优秀短视频（新闻类）</w:t>
            </w:r>
          </w:p>
        </w:tc>
      </w:tr>
      <w:tr w:rsidR="00F10FF5" w:rsidTr="00B83953">
        <w:trPr>
          <w:trHeight w:val="570"/>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年度优秀短视频（非新闻类）</w:t>
            </w:r>
          </w:p>
        </w:tc>
      </w:tr>
      <w:tr w:rsidR="00F10FF5" w:rsidTr="00B83953">
        <w:trPr>
          <w:trHeight w:val="765"/>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年度优秀网络视听专题节目</w:t>
            </w:r>
          </w:p>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rPr>
              <w:t>（科教、财经、人文、体育、生活服务等）</w:t>
            </w:r>
          </w:p>
        </w:tc>
      </w:tr>
      <w:tr w:rsidR="00F10FF5" w:rsidTr="00B83953">
        <w:trPr>
          <w:trHeight w:val="570"/>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年度优秀网络纪录片</w:t>
            </w:r>
          </w:p>
        </w:tc>
      </w:tr>
      <w:tr w:rsidR="00F10FF5" w:rsidTr="00B83953">
        <w:trPr>
          <w:trHeight w:val="570"/>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年度优秀网络综艺节目</w:t>
            </w:r>
          </w:p>
        </w:tc>
      </w:tr>
      <w:tr w:rsidR="00F10FF5" w:rsidTr="00B83953">
        <w:trPr>
          <w:trHeight w:val="570"/>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年度优秀网络音频节目</w:t>
            </w:r>
          </w:p>
        </w:tc>
      </w:tr>
      <w:tr w:rsidR="00F10FF5" w:rsidTr="00B83953">
        <w:trPr>
          <w:trHeight w:val="655"/>
          <w:jc w:val="center"/>
        </w:trPr>
        <w:tc>
          <w:tcPr>
            <w:tcW w:w="1920" w:type="dxa"/>
            <w:vMerge w:val="restart"/>
            <w:tcBorders>
              <w:top w:val="single" w:sz="4" w:space="0" w:color="auto"/>
              <w:left w:val="single" w:sz="4" w:space="0" w:color="auto"/>
              <w:bottom w:val="single" w:sz="4" w:space="0" w:color="auto"/>
              <w:right w:val="single" w:sz="4" w:space="0" w:color="auto"/>
            </w:tcBorders>
            <w:vAlign w:val="center"/>
          </w:tcPr>
          <w:p w:rsidR="00F10FF5" w:rsidRDefault="000B6B8E" w:rsidP="00B83953">
            <w:pPr>
              <w:spacing w:line="360" w:lineRule="auto"/>
              <w:jc w:val="center"/>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大学生原创单元</w:t>
            </w: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年度优秀大学生剧情短片</w:t>
            </w:r>
          </w:p>
        </w:tc>
      </w:tr>
      <w:tr w:rsidR="00F10FF5" w:rsidTr="00B83953">
        <w:trPr>
          <w:trHeight w:val="653"/>
          <w:jc w:val="center"/>
        </w:trPr>
        <w:tc>
          <w:tcPr>
            <w:tcW w:w="1920" w:type="dxa"/>
            <w:vMerge/>
            <w:tcBorders>
              <w:top w:val="single" w:sz="4" w:space="0" w:color="auto"/>
              <w:left w:val="single" w:sz="4" w:space="0" w:color="auto"/>
              <w:bottom w:val="single" w:sz="4" w:space="0" w:color="auto"/>
              <w:right w:val="single" w:sz="4" w:space="0" w:color="auto"/>
            </w:tcBorders>
            <w:vAlign w:val="center"/>
          </w:tcPr>
          <w:p w:rsidR="00F10FF5" w:rsidRDefault="00F10FF5" w:rsidP="00B83953">
            <w:pPr>
              <w:widowControl/>
              <w:spacing w:line="360" w:lineRule="auto"/>
              <w:jc w:val="left"/>
              <w:rPr>
                <w:rFonts w:ascii="仿宋_GB2312" w:eastAsia="仿宋_GB2312" w:hAnsi="仿宋_GB2312" w:cs="仿宋_GB2312"/>
                <w:color w:val="000000"/>
                <w:kern w:val="0"/>
                <w:sz w:val="24"/>
                <w:szCs w:val="24"/>
              </w:rPr>
            </w:pPr>
          </w:p>
        </w:tc>
        <w:tc>
          <w:tcPr>
            <w:tcW w:w="6255" w:type="dxa"/>
            <w:tcBorders>
              <w:top w:val="single" w:sz="4" w:space="0" w:color="auto"/>
              <w:left w:val="single" w:sz="4" w:space="0" w:color="auto"/>
              <w:bottom w:val="single" w:sz="4" w:space="0" w:color="auto"/>
              <w:right w:val="single" w:sz="4" w:space="0" w:color="auto"/>
            </w:tcBorders>
            <w:vAlign w:val="center"/>
          </w:tcPr>
          <w:p w:rsidR="00F10FF5" w:rsidRDefault="000B6B8E" w:rsidP="00B83953">
            <w:pPr>
              <w:widowControl/>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kern w:val="0"/>
                <w:sz w:val="24"/>
              </w:rPr>
              <w:t>年度优秀大学生纪实短片</w:t>
            </w:r>
          </w:p>
        </w:tc>
      </w:tr>
    </w:tbl>
    <w:p w:rsidR="00F10FF5" w:rsidRDefault="000B6B8E">
      <w:pPr>
        <w:snapToGrid w:val="0"/>
        <w:spacing w:line="360" w:lineRule="auto"/>
        <w:rPr>
          <w:rFonts w:ascii="仿宋_GB2312" w:eastAsia="仿宋_GB2312" w:hAnsi="仿宋_GB2312" w:cs="仿宋_GB2312"/>
          <w:color w:val="000000"/>
          <w:kern w:val="0"/>
          <w:sz w:val="24"/>
        </w:rPr>
      </w:pPr>
      <w:r>
        <w:rPr>
          <w:rFonts w:ascii="仿宋_GB2312" w:eastAsia="仿宋_GB2312" w:hAnsi="仿宋_GB2312" w:cs="仿宋_GB2312" w:hint="eastAsia"/>
          <w:color w:val="000000"/>
          <w:sz w:val="24"/>
          <w:szCs w:val="32"/>
        </w:rPr>
        <w:t>注明：评选坚持严格标准，宁缺毋滥；具体数量根据实际参评情况决定</w:t>
      </w:r>
      <w:r>
        <w:rPr>
          <w:rFonts w:ascii="仿宋_GB2312" w:eastAsia="仿宋_GB2312" w:hAnsi="仿宋_GB2312" w:cs="仿宋_GB2312" w:hint="eastAsia"/>
          <w:color w:val="000000"/>
          <w:kern w:val="0"/>
          <w:sz w:val="24"/>
        </w:rPr>
        <w:t>。</w:t>
      </w:r>
    </w:p>
    <w:bookmarkEnd w:id="0"/>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方正黑体" w:eastAsia="方正黑体" w:hAnsi="方正黑体" w:cs="方正黑体" w:hint="eastAsia"/>
          <w:bCs/>
          <w:color w:val="000000"/>
          <w:sz w:val="32"/>
          <w:szCs w:val="32"/>
        </w:rPr>
        <w:t>二、报送作品要求</w:t>
      </w:r>
    </w:p>
    <w:p w:rsidR="00F10FF5" w:rsidRDefault="000B6B8E" w:rsidP="00A2513D">
      <w:pPr>
        <w:spacing w:line="360" w:lineRule="auto"/>
        <w:ind w:firstLineChars="200" w:firstLine="643"/>
        <w:rPr>
          <w:rFonts w:ascii="仿宋_GB2312" w:eastAsia="仿宋_GB2312" w:hAnsi="仿宋_GB2312" w:cs="仿宋_GB2312"/>
          <w:b/>
          <w:color w:val="000000"/>
          <w:sz w:val="32"/>
          <w:szCs w:val="32"/>
        </w:rPr>
      </w:pPr>
      <w:r>
        <w:rPr>
          <w:rFonts w:ascii="仿宋_GB2312" w:eastAsia="仿宋_GB2312" w:hAnsi="仿宋_GB2312" w:cs="仿宋_GB2312" w:hint="eastAsia"/>
          <w:b/>
          <w:color w:val="000000"/>
          <w:sz w:val="32"/>
          <w:szCs w:val="32"/>
        </w:rPr>
        <w:t>（一）作品类别</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1、剧情类单元：网络剧、网络电影长片（60分钟以上）、网络电影短片（60分钟以下）、网络动画片（系列片、短片）；</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2、非剧情类单元：短视频（新闻类）、短视频（非新闻类）、网络视听专题节目、网络纪录片、网络综艺节目、网络音频节目；</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3、大学生原创单元：大学生剧情短片、大学生纪实短片。</w:t>
      </w:r>
    </w:p>
    <w:p w:rsidR="00F10FF5" w:rsidRDefault="000B6B8E" w:rsidP="00A2513D">
      <w:pPr>
        <w:spacing w:line="360" w:lineRule="auto"/>
        <w:ind w:firstLineChars="200" w:firstLine="643"/>
        <w:rPr>
          <w:rFonts w:ascii="仿宋_GB2312" w:eastAsia="仿宋_GB2312" w:hAnsi="仿宋_GB2312" w:cs="仿宋_GB2312"/>
          <w:b/>
          <w:color w:val="000000"/>
          <w:sz w:val="32"/>
          <w:szCs w:val="32"/>
        </w:rPr>
      </w:pPr>
      <w:r>
        <w:rPr>
          <w:rFonts w:ascii="仿宋_GB2312" w:eastAsia="仿宋_GB2312" w:hAnsi="仿宋_GB2312" w:cs="仿宋_GB2312" w:hint="eastAsia"/>
          <w:b/>
          <w:color w:val="000000"/>
          <w:sz w:val="32"/>
          <w:szCs w:val="32"/>
        </w:rPr>
        <w:t>（二）参评资格</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1、专门用于互联网播出的各类网络原创视听作品；</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2、取得《国产电视剧发行许可证》《电影公映许可证》等许可的视听作品，不参与</w:t>
      </w:r>
      <w:r w:rsidR="00114613">
        <w:rPr>
          <w:rFonts w:ascii="仿宋_GB2312" w:eastAsia="仿宋_GB2312" w:hAnsi="仿宋_GB2312" w:cs="仿宋_GB2312" w:hint="eastAsia"/>
          <w:bCs/>
          <w:color w:val="000000"/>
          <w:sz w:val="32"/>
          <w:szCs w:val="32"/>
        </w:rPr>
        <w:t>网</w:t>
      </w:r>
      <w:bookmarkStart w:id="1" w:name="_GoBack"/>
      <w:bookmarkEnd w:id="1"/>
      <w:r w:rsidR="00114613">
        <w:rPr>
          <w:rFonts w:ascii="仿宋_GB2312" w:eastAsia="仿宋_GB2312" w:hAnsi="仿宋_GB2312" w:cs="仿宋_GB2312" w:hint="eastAsia"/>
          <w:bCs/>
          <w:color w:val="000000"/>
          <w:sz w:val="32"/>
          <w:szCs w:val="32"/>
        </w:rPr>
        <w:t>络原创视听节目推选</w:t>
      </w:r>
      <w:r>
        <w:rPr>
          <w:rFonts w:ascii="仿宋_GB2312" w:eastAsia="仿宋_GB2312" w:hAnsi="仿宋_GB2312" w:cs="仿宋_GB2312" w:hint="eastAsia"/>
          <w:bCs/>
          <w:color w:val="000000"/>
          <w:sz w:val="32"/>
          <w:szCs w:val="32"/>
        </w:rPr>
        <w:t>活动；</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3、参评作品首次播出时间为2019年1月1日至2019年12月31日；</w:t>
      </w:r>
    </w:p>
    <w:p w:rsidR="00F10FF5" w:rsidRDefault="000B6B8E">
      <w:pPr>
        <w:spacing w:line="360" w:lineRule="auto"/>
        <w:ind w:firstLineChars="200" w:firstLine="640"/>
        <w:rPr>
          <w:rFonts w:ascii="仿宋_GB2312" w:eastAsia="仿宋_GB2312" w:hAnsi="仿宋_GB2312" w:cs="仿宋_GB2312" w:hint="eastAsia"/>
          <w:bCs/>
          <w:color w:val="000000"/>
          <w:sz w:val="32"/>
          <w:szCs w:val="32"/>
        </w:rPr>
      </w:pPr>
      <w:r>
        <w:rPr>
          <w:rFonts w:ascii="仿宋_GB2312" w:eastAsia="仿宋_GB2312" w:hAnsi="仿宋_GB2312" w:cs="仿宋_GB2312" w:hint="eastAsia"/>
          <w:bCs/>
          <w:color w:val="000000"/>
          <w:sz w:val="32"/>
          <w:szCs w:val="32"/>
        </w:rPr>
        <w:t xml:space="preserve">4、往届优秀作品，不再具有参评资格。 </w:t>
      </w:r>
    </w:p>
    <w:p w:rsidR="005C23D6" w:rsidRDefault="005C23D6">
      <w:pPr>
        <w:spacing w:line="360" w:lineRule="auto"/>
        <w:ind w:firstLineChars="200" w:firstLine="640"/>
        <w:rPr>
          <w:rFonts w:ascii="仿宋_GB2312" w:eastAsia="仿宋_GB2312" w:hAnsi="仿宋_GB2312" w:cs="仿宋_GB2312"/>
          <w:bCs/>
          <w:color w:val="000000"/>
          <w:sz w:val="32"/>
          <w:szCs w:val="32"/>
        </w:rPr>
      </w:pPr>
    </w:p>
    <w:p w:rsidR="00F10FF5" w:rsidRDefault="000B6B8E" w:rsidP="00A2513D">
      <w:pPr>
        <w:spacing w:line="360" w:lineRule="auto"/>
        <w:ind w:firstLineChars="200" w:firstLine="643"/>
        <w:rPr>
          <w:rFonts w:ascii="仿宋_GB2312" w:eastAsia="仿宋_GB2312" w:hAnsi="仿宋_GB2312" w:cs="仿宋_GB2312"/>
          <w:bCs/>
          <w:color w:val="000000"/>
          <w:sz w:val="32"/>
          <w:szCs w:val="32"/>
        </w:rPr>
      </w:pPr>
      <w:r>
        <w:rPr>
          <w:rFonts w:ascii="仿宋_GB2312" w:eastAsia="仿宋_GB2312" w:hAnsi="仿宋_GB2312" w:cs="仿宋_GB2312" w:hint="eastAsia"/>
          <w:b/>
          <w:color w:val="000000"/>
          <w:sz w:val="32"/>
          <w:szCs w:val="32"/>
        </w:rPr>
        <w:t>（三）材料要求</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1、报送单位需提交完整的《2020年度优秀网络视听作品推选活动参评作品统计表》（以下简称《统计表》）、《2020年度优秀网络视听作品推选活动参评作品登记表》（以下简称《登记表》）及《版权承诺书》电子版和纸质版各1份，纸质版需加盖公章。其中，个人报送作品仅填写《登记表》和《版权承诺书》即可，纸质版需由作品版权人签字确认。</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2、每部报送作品需附作品海报电子版图片1张（JPEG格式，大小不超过3MB，下同）。</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3、参评节目类作品评选，请选送1期节目内容报送；参评网络剧或网络动画片（系列片）评选，请选送3集样片报送，并附全集网络播出链接地址。</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4、存储介质：U盘、硬盘。</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5、格式标准及要求：可提供MP4、MPG、AVI等标准格式，影片分辨率不低于720p，但不高于1080p，请确保作品电子格式可通过各类播放器打开（单部视频大小建议不超过2GB）。</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6、作品电子版材料要求：每部参评作品需单独建立电子文件夹，文件夹内需包括作品《登记表》电子版及《版权承诺书》扫描件，其中作品所在电子文件夹及作品电子版名称命名格式请参考：“</w:t>
      </w:r>
      <w:r>
        <w:rPr>
          <w:rFonts w:ascii="仿宋_GB2312" w:eastAsia="仿宋_GB2312" w:hAnsi="仿宋_GB2312" w:cs="仿宋_GB2312" w:hint="eastAsia"/>
          <w:b/>
          <w:color w:val="000000"/>
          <w:sz w:val="32"/>
          <w:szCs w:val="32"/>
        </w:rPr>
        <w:t>《作品名称》-类别-报送机构-时长（X分X秒）</w:t>
      </w:r>
      <w:r>
        <w:rPr>
          <w:rFonts w:ascii="仿宋_GB2312" w:eastAsia="仿宋_GB2312" w:hAnsi="仿宋_GB2312" w:cs="仿宋_GB2312" w:hint="eastAsia"/>
          <w:bCs/>
          <w:color w:val="000000"/>
          <w:sz w:val="32"/>
          <w:szCs w:val="32"/>
        </w:rPr>
        <w:t>”。</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例：《作品名称》-网络电影短片-公司名称-10分30秒</w:t>
      </w:r>
    </w:p>
    <w:p w:rsidR="00F10FF5" w:rsidRDefault="000B6B8E">
      <w:pPr>
        <w:numPr>
          <w:ilvl w:val="0"/>
          <w:numId w:val="1"/>
        </w:numPr>
        <w:spacing w:line="360" w:lineRule="auto"/>
        <w:ind w:firstLineChars="200" w:firstLine="640"/>
        <w:rPr>
          <w:rFonts w:ascii="方正黑体" w:eastAsia="方正黑体" w:hAnsi="方正黑体" w:cs="方正黑体"/>
          <w:bCs/>
          <w:color w:val="000000"/>
          <w:sz w:val="32"/>
          <w:szCs w:val="32"/>
        </w:rPr>
      </w:pPr>
      <w:r>
        <w:rPr>
          <w:rFonts w:ascii="方正黑体" w:eastAsia="方正黑体" w:hAnsi="方正黑体" w:cs="方正黑体" w:hint="eastAsia"/>
          <w:bCs/>
          <w:color w:val="000000"/>
          <w:sz w:val="32"/>
          <w:szCs w:val="32"/>
        </w:rPr>
        <w:t>作品报送方式</w:t>
      </w:r>
    </w:p>
    <w:p w:rsidR="00F10FF5" w:rsidRDefault="000B6B8E">
      <w:pPr>
        <w:spacing w:line="360" w:lineRule="auto"/>
        <w:rPr>
          <w:rFonts w:ascii="仿宋_GB2312" w:eastAsia="仿宋_GB2312"/>
          <w:color w:val="000000"/>
          <w:sz w:val="32"/>
          <w:szCs w:val="32"/>
        </w:rPr>
      </w:pPr>
      <w:r>
        <w:rPr>
          <w:rFonts w:ascii="仿宋_GB2312" w:eastAsia="仿宋_GB2312" w:hAnsi="仿宋_GB2312" w:cs="仿宋_GB2312" w:hint="eastAsia"/>
          <w:bCs/>
          <w:color w:val="000000"/>
          <w:sz w:val="32"/>
          <w:szCs w:val="32"/>
        </w:rPr>
        <w:t xml:space="preserve">    1、各地</w:t>
      </w:r>
      <w:r>
        <w:rPr>
          <w:rFonts w:ascii="仿宋_GB2312" w:eastAsia="仿宋_GB2312" w:hint="eastAsia"/>
          <w:color w:val="000000"/>
          <w:sz w:val="32"/>
          <w:szCs w:val="32"/>
        </w:rPr>
        <w:t>互联网视听节目服务单位、广播电视节目制作经营机构、相关行业影视节目制作机构、相关大专院校（院系），向所在地省级广电行政部门报送提交作品材料。省级广电行政部门负责本地区作品初选。</w:t>
      </w:r>
    </w:p>
    <w:p w:rsidR="00F10FF5" w:rsidRDefault="000B6B8E">
      <w:pPr>
        <w:spacing w:line="360" w:lineRule="auto"/>
        <w:ind w:firstLine="640"/>
        <w:rPr>
          <w:rFonts w:ascii="仿宋_GB2312" w:eastAsia="仿宋_GB2312"/>
          <w:color w:val="000000"/>
          <w:sz w:val="32"/>
          <w:szCs w:val="32"/>
        </w:rPr>
      </w:pPr>
      <w:r>
        <w:rPr>
          <w:rFonts w:ascii="仿宋_GB2312" w:eastAsia="仿宋_GB2312" w:hint="eastAsia"/>
          <w:color w:val="000000"/>
          <w:sz w:val="32"/>
          <w:szCs w:val="32"/>
        </w:rPr>
        <w:t>2、延续往届活动在北京大学、清华大学、中国人民大学、中国传媒大学、厦门大学、北京师范大学、北京电影学院等高校设立优秀作品直报点的方式，上述高校可将材料报送至中国网络视听节目服务协会。中国网络视听节目服务协会负责重点高校，以及部分地方视听协会、协会常务理事单位报送的作品初选。</w:t>
      </w:r>
    </w:p>
    <w:p w:rsidR="00F10FF5" w:rsidRDefault="000B6B8E">
      <w:pPr>
        <w:ind w:firstLine="640"/>
        <w:rPr>
          <w:rFonts w:ascii="仿宋_GB2312" w:eastAsia="仿宋_GB2312" w:hAnsi="仿宋_GB2312" w:cs="仿宋_GB2312"/>
          <w:color w:val="000000"/>
          <w:sz w:val="32"/>
          <w:szCs w:val="32"/>
        </w:rPr>
      </w:pPr>
      <w:r>
        <w:rPr>
          <w:rFonts w:ascii="仿宋_GB2312" w:eastAsia="仿宋_GB2312" w:hint="eastAsia"/>
          <w:color w:val="000000"/>
          <w:sz w:val="32"/>
          <w:szCs w:val="32"/>
        </w:rPr>
        <w:t>3、</w:t>
      </w:r>
      <w:r>
        <w:rPr>
          <w:rFonts w:ascii="仿宋_GB2312" w:eastAsia="仿宋_GB2312" w:hAnsi="仿宋_GB2312" w:cs="仿宋_GB2312" w:hint="eastAsia"/>
          <w:color w:val="000000"/>
          <w:sz w:val="32"/>
          <w:szCs w:val="32"/>
        </w:rPr>
        <w:t>各省级广电行政部门和中国网络视听节目服务协会，应当在6月15日前，将通过初选的参评作品材料，</w:t>
      </w:r>
      <w:r>
        <w:rPr>
          <w:rFonts w:ascii="仿宋_GB2312" w:eastAsia="仿宋_GB2312" w:hint="eastAsia"/>
          <w:color w:val="000000"/>
          <w:sz w:val="32"/>
          <w:szCs w:val="32"/>
        </w:rPr>
        <w:t>以中国邮政特快专递（EMS）方式</w:t>
      </w:r>
      <w:r>
        <w:rPr>
          <w:rFonts w:ascii="仿宋_GB2312" w:eastAsia="仿宋_GB2312" w:hAnsi="仿宋_GB2312" w:cs="仿宋_GB2312" w:hint="eastAsia"/>
          <w:color w:val="000000"/>
          <w:sz w:val="32"/>
          <w:szCs w:val="32"/>
        </w:rPr>
        <w:t>寄往国家广播电视总局（含电子版）。中央直属单位《信息网络传播视听节目许可证》持证机构将自选的作品，在截止时间内向国家广播电视总局寄送。</w:t>
      </w:r>
    </w:p>
    <w:p w:rsidR="00F10FF5" w:rsidRDefault="000B6B8E">
      <w:pPr>
        <w:ind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xml:space="preserve">邮寄地址：北京市西城区复兴门外大街2号国家广播电视总局网络司 </w:t>
      </w:r>
    </w:p>
    <w:p w:rsidR="00F10FF5" w:rsidRDefault="000B6B8E">
      <w:pPr>
        <w:ind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收件人：徐伊然 010-86096124</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方正黑体" w:eastAsia="方正黑体" w:hAnsi="方正黑体" w:cs="方正黑体" w:hint="eastAsia"/>
          <w:bCs/>
          <w:color w:val="000000"/>
          <w:sz w:val="32"/>
          <w:szCs w:val="32"/>
        </w:rPr>
        <w:t>四、其他注意事项</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1、参评方必须是参评作品著作权的合法权利方或授权代表方，合法拥有所提交作品的相关版权和作品的网络传播权等邻接权利，持有相关证明文件或授权文件。参评方确保参加此活动不会与其他方权利相冲突，不会与作品中的音乐著作权、表演者权利等相冲突。主办方不承担包括（但不限于）与参评作品有关的肖像权、名誉权、隐私权、著作权、商标权以及作品邻接权等纠纷而产生的任何法律责任。如出现上述纠纷，由参评方自行解决。主办方保留取消其参选资格及追回表彰的权利，并由参评方承担全部相关责任。</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2、参评方须完整、准确、真实的填写作品报送材料，并对其内容的准确性和真实性承担全部责任。</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3、参评方同意授权主办方有权以非盈利目的及合理方式在网络及其他媒体上展播参评作品，有权将参评作品及与其相关的资料，包括但不限于文字资料、宣传片、单页折页、海报、相关人员照片、幕后创作花絮等用于宣传手册、文集、书刊、官方及协作网站，以及用于各种宣传推广活动和交流培训活动。主办方有权对参评作品进行二次剪辑，参评方有义务配合活动相应的需求。</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4、主办方不承担参评作品和资料的邮寄费用和保险费用，不承担参评作品在邮寄过程中的丢失、毁损责任及其他由不可抗拒因素造成的任何参评资料遗失、错误或毁损责任。所有报送作品U盘或硬盘等储存介质及相关资料不予退还，请参评方自留备份。</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5、本次评选活动不收取任何费用。</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6、作品一旦提交则被视为参评方已接受本细则中的所有规定。</w:t>
      </w:r>
    </w:p>
    <w:p w:rsidR="00F10FF5" w:rsidRDefault="000B6B8E">
      <w:pPr>
        <w:spacing w:line="360" w:lineRule="auto"/>
        <w:ind w:firstLineChars="200" w:firstLine="640"/>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7、本活动的最终解释权归活动主办方所有。</w:t>
      </w:r>
    </w:p>
    <w:p w:rsidR="00F10FF5" w:rsidRDefault="00F10FF5">
      <w:pPr>
        <w:spacing w:line="360" w:lineRule="auto"/>
        <w:ind w:firstLineChars="200" w:firstLine="640"/>
        <w:rPr>
          <w:rFonts w:ascii="仿宋_GB2312" w:eastAsia="仿宋_GB2312" w:hAnsi="仿宋_GB2312" w:cs="仿宋_GB2312"/>
          <w:bCs/>
          <w:color w:val="000000"/>
          <w:sz w:val="32"/>
          <w:szCs w:val="32"/>
        </w:rPr>
      </w:pPr>
    </w:p>
    <w:sectPr w:rsidR="00F10FF5">
      <w:headerReference w:type="default" r:id="rId9"/>
      <w:footerReference w:type="default" r:id="rId10"/>
      <w:pgSz w:w="11906" w:h="16838"/>
      <w:pgMar w:top="2268"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09AD" w:rsidRDefault="003809AD">
      <w:r>
        <w:separator/>
      </w:r>
    </w:p>
  </w:endnote>
  <w:endnote w:type="continuationSeparator" w:id="0">
    <w:p w:rsidR="003809AD" w:rsidRDefault="003809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黑体">
    <w:altName w:val="Arial Unicode MS"/>
    <w:charset w:val="86"/>
    <w:family w:val="auto"/>
    <w:pitch w:val="default"/>
    <w:sig w:usb0="00000000"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altName w:val="方正仿宋_GBK"/>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0FF5" w:rsidRDefault="000B6B8E">
    <w:pPr>
      <w:pStyle w:val="a6"/>
      <w:jc w:val="center"/>
    </w:pPr>
    <w:r>
      <w:fldChar w:fldCharType="begin"/>
    </w:r>
    <w:r>
      <w:instrText xml:space="preserve"> PAGE   \* MERGEFORMAT </w:instrText>
    </w:r>
    <w:r>
      <w:fldChar w:fldCharType="separate"/>
    </w:r>
    <w:r w:rsidR="003809AD" w:rsidRPr="003809AD">
      <w:rPr>
        <w:noProof/>
        <w:lang w:val="zh-CN"/>
      </w:rPr>
      <w:t>1</w:t>
    </w:r>
    <w:r>
      <w:rPr>
        <w:lang w:val="zh-CN"/>
      </w:rPr>
      <w:fldChar w:fldCharType="end"/>
    </w:r>
  </w:p>
  <w:p w:rsidR="00F10FF5" w:rsidRDefault="00F10FF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09AD" w:rsidRDefault="003809AD">
      <w:r>
        <w:separator/>
      </w:r>
    </w:p>
  </w:footnote>
  <w:footnote w:type="continuationSeparator" w:id="0">
    <w:p w:rsidR="003809AD" w:rsidRDefault="003809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0FF5" w:rsidRDefault="00F10FF5">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CE8977"/>
    <w:multiLevelType w:val="singleLevel"/>
    <w:tmpl w:val="B3CE8977"/>
    <w:lvl w:ilvl="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bordersDoNotSurroundFooter/>
  <w:defaultTabStop w:val="420"/>
  <w:drawingGridVerticalSpacing w:val="156"/>
  <w:noPunctuationKerning/>
  <w:characterSpacingControl w:val="compressPunctuation"/>
  <w:savePreviewPicture/>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1B86"/>
    <w:rsid w:val="8BFD8A85"/>
    <w:rsid w:val="91F7FC4D"/>
    <w:rsid w:val="9FFF68CF"/>
    <w:rsid w:val="B7EBC88E"/>
    <w:rsid w:val="B7FB105E"/>
    <w:rsid w:val="CEFE11FD"/>
    <w:rsid w:val="D8E7F389"/>
    <w:rsid w:val="DAE77094"/>
    <w:rsid w:val="EBFECC9C"/>
    <w:rsid w:val="EE5B6F98"/>
    <w:rsid w:val="EFDF9ECE"/>
    <w:rsid w:val="F1FF5C1C"/>
    <w:rsid w:val="FCEFDB02"/>
    <w:rsid w:val="FDFF9689"/>
    <w:rsid w:val="FE6749A2"/>
    <w:rsid w:val="FE9DECF0"/>
    <w:rsid w:val="FEFA3F6B"/>
    <w:rsid w:val="FF6BD013"/>
    <w:rsid w:val="FFED2EBB"/>
    <w:rsid w:val="FFF574AA"/>
    <w:rsid w:val="000000E1"/>
    <w:rsid w:val="00005FB1"/>
    <w:rsid w:val="000062D2"/>
    <w:rsid w:val="00011628"/>
    <w:rsid w:val="00014D0E"/>
    <w:rsid w:val="0002201A"/>
    <w:rsid w:val="00022EBC"/>
    <w:rsid w:val="00032005"/>
    <w:rsid w:val="00035888"/>
    <w:rsid w:val="00035C61"/>
    <w:rsid w:val="00040383"/>
    <w:rsid w:val="00040C12"/>
    <w:rsid w:val="00043C27"/>
    <w:rsid w:val="000663B0"/>
    <w:rsid w:val="00073C6C"/>
    <w:rsid w:val="00074263"/>
    <w:rsid w:val="0007496B"/>
    <w:rsid w:val="0008224B"/>
    <w:rsid w:val="00092210"/>
    <w:rsid w:val="000A1CBE"/>
    <w:rsid w:val="000A1E42"/>
    <w:rsid w:val="000A21B2"/>
    <w:rsid w:val="000A5ED6"/>
    <w:rsid w:val="000B0A94"/>
    <w:rsid w:val="000B6B8E"/>
    <w:rsid w:val="000C3CDB"/>
    <w:rsid w:val="000C6130"/>
    <w:rsid w:val="000D08C9"/>
    <w:rsid w:val="000F187F"/>
    <w:rsid w:val="00114613"/>
    <w:rsid w:val="001244CC"/>
    <w:rsid w:val="00126CCF"/>
    <w:rsid w:val="00127ED3"/>
    <w:rsid w:val="00130B78"/>
    <w:rsid w:val="001533F8"/>
    <w:rsid w:val="001558C7"/>
    <w:rsid w:val="0016052F"/>
    <w:rsid w:val="00161D80"/>
    <w:rsid w:val="0016470E"/>
    <w:rsid w:val="0017298B"/>
    <w:rsid w:val="00183BCC"/>
    <w:rsid w:val="00192F77"/>
    <w:rsid w:val="001946F6"/>
    <w:rsid w:val="00195291"/>
    <w:rsid w:val="00197883"/>
    <w:rsid w:val="001A05FD"/>
    <w:rsid w:val="001A6E6E"/>
    <w:rsid w:val="001D0776"/>
    <w:rsid w:val="001D4D51"/>
    <w:rsid w:val="001D69EB"/>
    <w:rsid w:val="001E30BC"/>
    <w:rsid w:val="001E5F4E"/>
    <w:rsid w:val="002078C0"/>
    <w:rsid w:val="00216659"/>
    <w:rsid w:val="00217AB6"/>
    <w:rsid w:val="002207C4"/>
    <w:rsid w:val="00226522"/>
    <w:rsid w:val="00226FEA"/>
    <w:rsid w:val="00233038"/>
    <w:rsid w:val="0023390A"/>
    <w:rsid w:val="00236166"/>
    <w:rsid w:val="0023700C"/>
    <w:rsid w:val="00245661"/>
    <w:rsid w:val="0025303C"/>
    <w:rsid w:val="00261E60"/>
    <w:rsid w:val="00262231"/>
    <w:rsid w:val="00262965"/>
    <w:rsid w:val="002643E9"/>
    <w:rsid w:val="0026618C"/>
    <w:rsid w:val="002665FF"/>
    <w:rsid w:val="002667C9"/>
    <w:rsid w:val="002701EF"/>
    <w:rsid w:val="00273DEF"/>
    <w:rsid w:val="0027476C"/>
    <w:rsid w:val="002809DD"/>
    <w:rsid w:val="002931C5"/>
    <w:rsid w:val="002A0575"/>
    <w:rsid w:val="002B1C93"/>
    <w:rsid w:val="002C1B8E"/>
    <w:rsid w:val="002D607A"/>
    <w:rsid w:val="002E3D07"/>
    <w:rsid w:val="002E679F"/>
    <w:rsid w:val="002F25C5"/>
    <w:rsid w:val="002F4AAE"/>
    <w:rsid w:val="00301530"/>
    <w:rsid w:val="00312B06"/>
    <w:rsid w:val="00320751"/>
    <w:rsid w:val="00321F28"/>
    <w:rsid w:val="003234FC"/>
    <w:rsid w:val="003237E0"/>
    <w:rsid w:val="00333008"/>
    <w:rsid w:val="00333A4E"/>
    <w:rsid w:val="00351F7B"/>
    <w:rsid w:val="0035326E"/>
    <w:rsid w:val="00360BD7"/>
    <w:rsid w:val="00361F19"/>
    <w:rsid w:val="00371669"/>
    <w:rsid w:val="00373A2B"/>
    <w:rsid w:val="003774B5"/>
    <w:rsid w:val="003809AD"/>
    <w:rsid w:val="003831E4"/>
    <w:rsid w:val="00385243"/>
    <w:rsid w:val="00390E7B"/>
    <w:rsid w:val="00393F07"/>
    <w:rsid w:val="003A1546"/>
    <w:rsid w:val="003A76BE"/>
    <w:rsid w:val="003B0305"/>
    <w:rsid w:val="003B7FE4"/>
    <w:rsid w:val="003C09E8"/>
    <w:rsid w:val="003C6361"/>
    <w:rsid w:val="003D121C"/>
    <w:rsid w:val="003D23ED"/>
    <w:rsid w:val="003F1812"/>
    <w:rsid w:val="003F5945"/>
    <w:rsid w:val="003F7FE3"/>
    <w:rsid w:val="00401792"/>
    <w:rsid w:val="00401B6C"/>
    <w:rsid w:val="00405AC5"/>
    <w:rsid w:val="00424E65"/>
    <w:rsid w:val="00431DC7"/>
    <w:rsid w:val="004329E1"/>
    <w:rsid w:val="004432F7"/>
    <w:rsid w:val="00461415"/>
    <w:rsid w:val="00466113"/>
    <w:rsid w:val="004742C4"/>
    <w:rsid w:val="00491A9E"/>
    <w:rsid w:val="00493D1E"/>
    <w:rsid w:val="004A5F91"/>
    <w:rsid w:val="004A7A28"/>
    <w:rsid w:val="004C1A49"/>
    <w:rsid w:val="004D09B6"/>
    <w:rsid w:val="004D49E1"/>
    <w:rsid w:val="004F07AC"/>
    <w:rsid w:val="004F6B92"/>
    <w:rsid w:val="00515B9D"/>
    <w:rsid w:val="00526125"/>
    <w:rsid w:val="00531F7E"/>
    <w:rsid w:val="0054128A"/>
    <w:rsid w:val="00541A47"/>
    <w:rsid w:val="00551378"/>
    <w:rsid w:val="00554736"/>
    <w:rsid w:val="00554852"/>
    <w:rsid w:val="005553DB"/>
    <w:rsid w:val="005562CA"/>
    <w:rsid w:val="005610F9"/>
    <w:rsid w:val="00575BB9"/>
    <w:rsid w:val="00576D34"/>
    <w:rsid w:val="00580C3C"/>
    <w:rsid w:val="00585578"/>
    <w:rsid w:val="00587976"/>
    <w:rsid w:val="005A624B"/>
    <w:rsid w:val="005A6505"/>
    <w:rsid w:val="005C1287"/>
    <w:rsid w:val="005C23D6"/>
    <w:rsid w:val="005C66CA"/>
    <w:rsid w:val="005D337A"/>
    <w:rsid w:val="005E1439"/>
    <w:rsid w:val="005E1500"/>
    <w:rsid w:val="005E3161"/>
    <w:rsid w:val="005E3C9B"/>
    <w:rsid w:val="005E5411"/>
    <w:rsid w:val="005E6614"/>
    <w:rsid w:val="0060763B"/>
    <w:rsid w:val="0062333E"/>
    <w:rsid w:val="0062386F"/>
    <w:rsid w:val="00625544"/>
    <w:rsid w:val="00626A2E"/>
    <w:rsid w:val="0063232D"/>
    <w:rsid w:val="00634650"/>
    <w:rsid w:val="00645836"/>
    <w:rsid w:val="006510D6"/>
    <w:rsid w:val="00653AB5"/>
    <w:rsid w:val="00657DC3"/>
    <w:rsid w:val="00663147"/>
    <w:rsid w:val="00677E12"/>
    <w:rsid w:val="00686E63"/>
    <w:rsid w:val="00697747"/>
    <w:rsid w:val="006B2621"/>
    <w:rsid w:val="006B6295"/>
    <w:rsid w:val="006B777C"/>
    <w:rsid w:val="006C02E3"/>
    <w:rsid w:val="006C1229"/>
    <w:rsid w:val="006C5007"/>
    <w:rsid w:val="006C6716"/>
    <w:rsid w:val="006C7AD1"/>
    <w:rsid w:val="006D6472"/>
    <w:rsid w:val="006E1666"/>
    <w:rsid w:val="006E206B"/>
    <w:rsid w:val="006E228A"/>
    <w:rsid w:val="006E2BFD"/>
    <w:rsid w:val="00702681"/>
    <w:rsid w:val="00703302"/>
    <w:rsid w:val="007033C3"/>
    <w:rsid w:val="00704FFC"/>
    <w:rsid w:val="00710507"/>
    <w:rsid w:val="007202B9"/>
    <w:rsid w:val="007232EF"/>
    <w:rsid w:val="00733D2A"/>
    <w:rsid w:val="00746252"/>
    <w:rsid w:val="0074715B"/>
    <w:rsid w:val="00751673"/>
    <w:rsid w:val="0075443E"/>
    <w:rsid w:val="0075492F"/>
    <w:rsid w:val="0076005D"/>
    <w:rsid w:val="00770C57"/>
    <w:rsid w:val="00775A8D"/>
    <w:rsid w:val="0079040D"/>
    <w:rsid w:val="007955EF"/>
    <w:rsid w:val="00797FFD"/>
    <w:rsid w:val="007A1E00"/>
    <w:rsid w:val="007B27D9"/>
    <w:rsid w:val="007B7307"/>
    <w:rsid w:val="007C237C"/>
    <w:rsid w:val="007D372E"/>
    <w:rsid w:val="007D606F"/>
    <w:rsid w:val="007E1EBE"/>
    <w:rsid w:val="007F7FBA"/>
    <w:rsid w:val="0080377C"/>
    <w:rsid w:val="00827D66"/>
    <w:rsid w:val="00840E6C"/>
    <w:rsid w:val="00845907"/>
    <w:rsid w:val="00847096"/>
    <w:rsid w:val="00870727"/>
    <w:rsid w:val="00885A7D"/>
    <w:rsid w:val="00892D0F"/>
    <w:rsid w:val="008934AF"/>
    <w:rsid w:val="00893FE3"/>
    <w:rsid w:val="00897803"/>
    <w:rsid w:val="008A0E13"/>
    <w:rsid w:val="008B7C28"/>
    <w:rsid w:val="008C1656"/>
    <w:rsid w:val="008C386E"/>
    <w:rsid w:val="008C3F1B"/>
    <w:rsid w:val="008D0492"/>
    <w:rsid w:val="008D123A"/>
    <w:rsid w:val="008D4AF4"/>
    <w:rsid w:val="009017AF"/>
    <w:rsid w:val="00910413"/>
    <w:rsid w:val="009175F0"/>
    <w:rsid w:val="0092279A"/>
    <w:rsid w:val="00922E8E"/>
    <w:rsid w:val="0092465D"/>
    <w:rsid w:val="0092522C"/>
    <w:rsid w:val="009350B3"/>
    <w:rsid w:val="00935CBF"/>
    <w:rsid w:val="00943BCC"/>
    <w:rsid w:val="00952DED"/>
    <w:rsid w:val="009672A4"/>
    <w:rsid w:val="0097223E"/>
    <w:rsid w:val="009724B3"/>
    <w:rsid w:val="00974856"/>
    <w:rsid w:val="00975FBD"/>
    <w:rsid w:val="00976E13"/>
    <w:rsid w:val="00981824"/>
    <w:rsid w:val="0099172F"/>
    <w:rsid w:val="009925C4"/>
    <w:rsid w:val="0099686C"/>
    <w:rsid w:val="009A457E"/>
    <w:rsid w:val="009B0DFD"/>
    <w:rsid w:val="009C2ECC"/>
    <w:rsid w:val="009C3CB6"/>
    <w:rsid w:val="009C4CCA"/>
    <w:rsid w:val="009C4EDB"/>
    <w:rsid w:val="009C74E7"/>
    <w:rsid w:val="009D07C1"/>
    <w:rsid w:val="009D48D4"/>
    <w:rsid w:val="009D5847"/>
    <w:rsid w:val="009D66E0"/>
    <w:rsid w:val="009D69DE"/>
    <w:rsid w:val="009E3BF9"/>
    <w:rsid w:val="009E6F6D"/>
    <w:rsid w:val="00A05925"/>
    <w:rsid w:val="00A17205"/>
    <w:rsid w:val="00A235ED"/>
    <w:rsid w:val="00A2513D"/>
    <w:rsid w:val="00A30A2C"/>
    <w:rsid w:val="00A377FC"/>
    <w:rsid w:val="00A41328"/>
    <w:rsid w:val="00A43A1B"/>
    <w:rsid w:val="00A45C94"/>
    <w:rsid w:val="00A57728"/>
    <w:rsid w:val="00A65FF0"/>
    <w:rsid w:val="00A75BB9"/>
    <w:rsid w:val="00A80842"/>
    <w:rsid w:val="00A92CB3"/>
    <w:rsid w:val="00A93F7E"/>
    <w:rsid w:val="00A9521A"/>
    <w:rsid w:val="00A95468"/>
    <w:rsid w:val="00A96E3F"/>
    <w:rsid w:val="00AA56DE"/>
    <w:rsid w:val="00AA6953"/>
    <w:rsid w:val="00AB2973"/>
    <w:rsid w:val="00AB7E13"/>
    <w:rsid w:val="00AB7FEE"/>
    <w:rsid w:val="00AC18D4"/>
    <w:rsid w:val="00AC7AEC"/>
    <w:rsid w:val="00AE5091"/>
    <w:rsid w:val="00AF7BC3"/>
    <w:rsid w:val="00B0347F"/>
    <w:rsid w:val="00B0501C"/>
    <w:rsid w:val="00B139CD"/>
    <w:rsid w:val="00B14E0B"/>
    <w:rsid w:val="00B40168"/>
    <w:rsid w:val="00B47AB8"/>
    <w:rsid w:val="00B576D0"/>
    <w:rsid w:val="00B629E4"/>
    <w:rsid w:val="00B67018"/>
    <w:rsid w:val="00B67FBE"/>
    <w:rsid w:val="00B77606"/>
    <w:rsid w:val="00B80298"/>
    <w:rsid w:val="00B83953"/>
    <w:rsid w:val="00B90CF2"/>
    <w:rsid w:val="00B915A1"/>
    <w:rsid w:val="00B92184"/>
    <w:rsid w:val="00B95A28"/>
    <w:rsid w:val="00BA623C"/>
    <w:rsid w:val="00BA68FB"/>
    <w:rsid w:val="00BB3B8D"/>
    <w:rsid w:val="00BB3BCB"/>
    <w:rsid w:val="00BC1C1B"/>
    <w:rsid w:val="00BC1DCE"/>
    <w:rsid w:val="00BC7E49"/>
    <w:rsid w:val="00BD06FB"/>
    <w:rsid w:val="00BD191B"/>
    <w:rsid w:val="00BD77ED"/>
    <w:rsid w:val="00BE2589"/>
    <w:rsid w:val="00BE61CF"/>
    <w:rsid w:val="00BE75CA"/>
    <w:rsid w:val="00BF2345"/>
    <w:rsid w:val="00BF6700"/>
    <w:rsid w:val="00C01C02"/>
    <w:rsid w:val="00C054A7"/>
    <w:rsid w:val="00C05F9F"/>
    <w:rsid w:val="00C105CE"/>
    <w:rsid w:val="00C13368"/>
    <w:rsid w:val="00C15ABE"/>
    <w:rsid w:val="00C21C80"/>
    <w:rsid w:val="00C23650"/>
    <w:rsid w:val="00C25459"/>
    <w:rsid w:val="00C3082F"/>
    <w:rsid w:val="00C31318"/>
    <w:rsid w:val="00C35695"/>
    <w:rsid w:val="00C41B86"/>
    <w:rsid w:val="00C5130D"/>
    <w:rsid w:val="00C52853"/>
    <w:rsid w:val="00C53322"/>
    <w:rsid w:val="00C54F01"/>
    <w:rsid w:val="00C6342E"/>
    <w:rsid w:val="00C77CB9"/>
    <w:rsid w:val="00C839F0"/>
    <w:rsid w:val="00C85DD5"/>
    <w:rsid w:val="00C91455"/>
    <w:rsid w:val="00C94B77"/>
    <w:rsid w:val="00C95878"/>
    <w:rsid w:val="00CB57F2"/>
    <w:rsid w:val="00CB58ED"/>
    <w:rsid w:val="00CC61DD"/>
    <w:rsid w:val="00CC7CEE"/>
    <w:rsid w:val="00CE5EF4"/>
    <w:rsid w:val="00CF18CA"/>
    <w:rsid w:val="00CF4B57"/>
    <w:rsid w:val="00D07D34"/>
    <w:rsid w:val="00D176E2"/>
    <w:rsid w:val="00D22907"/>
    <w:rsid w:val="00D25654"/>
    <w:rsid w:val="00D26400"/>
    <w:rsid w:val="00D35D2B"/>
    <w:rsid w:val="00D36521"/>
    <w:rsid w:val="00D37F62"/>
    <w:rsid w:val="00D40947"/>
    <w:rsid w:val="00D5562D"/>
    <w:rsid w:val="00D57B28"/>
    <w:rsid w:val="00D6345D"/>
    <w:rsid w:val="00D637B3"/>
    <w:rsid w:val="00D6413C"/>
    <w:rsid w:val="00D7461B"/>
    <w:rsid w:val="00D759C3"/>
    <w:rsid w:val="00D8002D"/>
    <w:rsid w:val="00D90C66"/>
    <w:rsid w:val="00D936DD"/>
    <w:rsid w:val="00DA04F2"/>
    <w:rsid w:val="00DA1469"/>
    <w:rsid w:val="00DA6CA0"/>
    <w:rsid w:val="00DB256C"/>
    <w:rsid w:val="00DB3BB3"/>
    <w:rsid w:val="00DC6BC3"/>
    <w:rsid w:val="00DC6C8C"/>
    <w:rsid w:val="00DC75CD"/>
    <w:rsid w:val="00DD2BF9"/>
    <w:rsid w:val="00DE49A4"/>
    <w:rsid w:val="00DF2168"/>
    <w:rsid w:val="00DF5335"/>
    <w:rsid w:val="00E1631D"/>
    <w:rsid w:val="00E27DEA"/>
    <w:rsid w:val="00E30E5C"/>
    <w:rsid w:val="00E435FB"/>
    <w:rsid w:val="00E45B14"/>
    <w:rsid w:val="00E46F26"/>
    <w:rsid w:val="00E51AE8"/>
    <w:rsid w:val="00E567A7"/>
    <w:rsid w:val="00E860C3"/>
    <w:rsid w:val="00E86777"/>
    <w:rsid w:val="00E86AF0"/>
    <w:rsid w:val="00E92762"/>
    <w:rsid w:val="00E92F3B"/>
    <w:rsid w:val="00EA011D"/>
    <w:rsid w:val="00EA0FE6"/>
    <w:rsid w:val="00EB5A60"/>
    <w:rsid w:val="00ED45E1"/>
    <w:rsid w:val="00EE09AA"/>
    <w:rsid w:val="00EE1DF7"/>
    <w:rsid w:val="00EE7155"/>
    <w:rsid w:val="00EE7956"/>
    <w:rsid w:val="00EF22B4"/>
    <w:rsid w:val="00EF29B3"/>
    <w:rsid w:val="00EF3FF8"/>
    <w:rsid w:val="00EF76A2"/>
    <w:rsid w:val="00F002DF"/>
    <w:rsid w:val="00F06287"/>
    <w:rsid w:val="00F10FF5"/>
    <w:rsid w:val="00F11064"/>
    <w:rsid w:val="00F1534C"/>
    <w:rsid w:val="00F21CB8"/>
    <w:rsid w:val="00F2488F"/>
    <w:rsid w:val="00F43548"/>
    <w:rsid w:val="00F4589D"/>
    <w:rsid w:val="00F45F45"/>
    <w:rsid w:val="00F52F35"/>
    <w:rsid w:val="00F63DCC"/>
    <w:rsid w:val="00F640CD"/>
    <w:rsid w:val="00F70BBE"/>
    <w:rsid w:val="00F7653D"/>
    <w:rsid w:val="00F90119"/>
    <w:rsid w:val="00FA7226"/>
    <w:rsid w:val="00FB5DB0"/>
    <w:rsid w:val="00FC6CCC"/>
    <w:rsid w:val="00FD303C"/>
    <w:rsid w:val="00FD6616"/>
    <w:rsid w:val="00FE3141"/>
    <w:rsid w:val="00FE4BBE"/>
    <w:rsid w:val="00FE713F"/>
    <w:rsid w:val="00FF018C"/>
    <w:rsid w:val="00FF4EF2"/>
    <w:rsid w:val="00FF7C0B"/>
    <w:rsid w:val="0B1632AE"/>
    <w:rsid w:val="1A7D57C6"/>
    <w:rsid w:val="2B7B7AC9"/>
    <w:rsid w:val="2C0372AE"/>
    <w:rsid w:val="2FA41E23"/>
    <w:rsid w:val="37BF4FA5"/>
    <w:rsid w:val="39F77267"/>
    <w:rsid w:val="3C4639BC"/>
    <w:rsid w:val="3D3FEE07"/>
    <w:rsid w:val="3DEEA776"/>
    <w:rsid w:val="3E6FD4F9"/>
    <w:rsid w:val="3F7D7025"/>
    <w:rsid w:val="3F7DB4DA"/>
    <w:rsid w:val="3FF703ED"/>
    <w:rsid w:val="3FF95D03"/>
    <w:rsid w:val="5BABD227"/>
    <w:rsid w:val="621C75CF"/>
    <w:rsid w:val="6445650B"/>
    <w:rsid w:val="6ACA4D89"/>
    <w:rsid w:val="6EDAFBF4"/>
    <w:rsid w:val="6EFDEB9C"/>
    <w:rsid w:val="6F753CBC"/>
    <w:rsid w:val="70FB4F81"/>
    <w:rsid w:val="772ED156"/>
    <w:rsid w:val="77342C41"/>
    <w:rsid w:val="7AF63426"/>
    <w:rsid w:val="7BDDA121"/>
    <w:rsid w:val="7DF68658"/>
    <w:rsid w:val="7EB5032D"/>
    <w:rsid w:val="7EE2EF8D"/>
    <w:rsid w:val="7FF78D3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uiPriority="0" w:unhideWhenUsed="0" w:qFormat="1"/>
    <w:lsdException w:name="footer" w:semiHidden="0" w:uiPriority="0" w:unhideWhenUsed="0"/>
    <w:lsdException w:name="caption" w:uiPriority="35" w:qFormat="1"/>
    <w:lsdException w:name="annotation reference" w:semiHidden="0"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Pr>
      <w:rFonts w:ascii="Calibri" w:hAnsi="Calibri"/>
      <w:b/>
      <w:bCs/>
      <w:szCs w:val="22"/>
    </w:rPr>
  </w:style>
  <w:style w:type="paragraph" w:styleId="a4">
    <w:name w:val="annotation text"/>
    <w:basedOn w:val="a"/>
    <w:link w:val="Char0"/>
    <w:uiPriority w:val="99"/>
    <w:unhideWhenUsed/>
    <w:pPr>
      <w:jc w:val="left"/>
    </w:pPr>
    <w:rPr>
      <w:rFonts w:ascii="Times New Roman" w:hAnsi="Times New Roman"/>
      <w:szCs w:val="24"/>
    </w:rPr>
  </w:style>
  <w:style w:type="paragraph" w:styleId="a5">
    <w:name w:val="Balloon Text"/>
    <w:basedOn w:val="a"/>
    <w:link w:val="Char1"/>
    <w:uiPriority w:val="99"/>
    <w:unhideWhenUsed/>
    <w:qFormat/>
    <w:rPr>
      <w:sz w:val="18"/>
      <w:szCs w:val="18"/>
    </w:rPr>
  </w:style>
  <w:style w:type="paragraph" w:styleId="a6">
    <w:name w:val="footer"/>
    <w:basedOn w:val="a"/>
    <w:link w:val="Char10"/>
    <w:pPr>
      <w:tabs>
        <w:tab w:val="center" w:pos="4153"/>
        <w:tab w:val="right" w:pos="8306"/>
      </w:tabs>
      <w:snapToGrid w:val="0"/>
      <w:jc w:val="left"/>
    </w:pPr>
    <w:rPr>
      <w:sz w:val="18"/>
      <w:szCs w:val="18"/>
    </w:rPr>
  </w:style>
  <w:style w:type="paragraph" w:styleId="a7">
    <w:name w:val="header"/>
    <w:basedOn w:val="a"/>
    <w:link w:val="Char11"/>
    <w:semiHidden/>
    <w:qFormat/>
    <w:pPr>
      <w:pBdr>
        <w:bottom w:val="single" w:sz="6" w:space="1" w:color="auto"/>
      </w:pBdr>
      <w:tabs>
        <w:tab w:val="center" w:pos="4153"/>
        <w:tab w:val="right" w:pos="8306"/>
      </w:tabs>
      <w:snapToGrid w:val="0"/>
      <w:jc w:val="center"/>
    </w:pPr>
    <w:rPr>
      <w:sz w:val="18"/>
      <w:szCs w:val="18"/>
    </w:rPr>
  </w:style>
  <w:style w:type="character" w:styleId="a8">
    <w:name w:val="Strong"/>
    <w:basedOn w:val="a0"/>
    <w:uiPriority w:val="22"/>
    <w:qFormat/>
    <w:rPr>
      <w:b/>
    </w:rPr>
  </w:style>
  <w:style w:type="character" w:styleId="a9">
    <w:name w:val="Emphasis"/>
    <w:basedOn w:val="a0"/>
    <w:uiPriority w:val="20"/>
    <w:qFormat/>
    <w:rPr>
      <w:i/>
      <w:iCs/>
    </w:rPr>
  </w:style>
  <w:style w:type="character" w:styleId="aa">
    <w:name w:val="Hyperlink"/>
    <w:basedOn w:val="a0"/>
    <w:uiPriority w:val="99"/>
    <w:unhideWhenUsed/>
    <w:qFormat/>
    <w:rPr>
      <w:color w:val="0000FF" w:themeColor="hyperlink"/>
      <w:u w:val="single"/>
    </w:rPr>
  </w:style>
  <w:style w:type="character" w:styleId="ab">
    <w:name w:val="annotation reference"/>
    <w:basedOn w:val="a0"/>
    <w:uiPriority w:val="99"/>
    <w:unhideWhenUsed/>
    <w:qFormat/>
    <w:rPr>
      <w:sz w:val="21"/>
      <w:szCs w:val="21"/>
    </w:rPr>
  </w:style>
  <w:style w:type="character" w:customStyle="1" w:styleId="Char0">
    <w:name w:val="批注文字 Char"/>
    <w:basedOn w:val="a0"/>
    <w:link w:val="a4"/>
    <w:uiPriority w:val="99"/>
    <w:semiHidden/>
    <w:qFormat/>
    <w:rPr>
      <w:rFonts w:ascii="Times New Roman" w:hAnsi="Times New Roman"/>
      <w:kern w:val="2"/>
      <w:sz w:val="21"/>
      <w:szCs w:val="24"/>
    </w:rPr>
  </w:style>
  <w:style w:type="character" w:customStyle="1" w:styleId="Char2">
    <w:name w:val="页脚 Char"/>
    <w:basedOn w:val="a0"/>
    <w:qFormat/>
    <w:locked/>
    <w:rPr>
      <w:rFonts w:cs="Times New Roman"/>
      <w:sz w:val="18"/>
      <w:szCs w:val="18"/>
    </w:rPr>
  </w:style>
  <w:style w:type="character" w:customStyle="1" w:styleId="Char3">
    <w:name w:val="页眉 Char"/>
    <w:basedOn w:val="a0"/>
    <w:semiHidden/>
    <w:qFormat/>
    <w:locked/>
    <w:rPr>
      <w:rFonts w:cs="Times New Roman"/>
      <w:sz w:val="18"/>
      <w:szCs w:val="18"/>
    </w:rPr>
  </w:style>
  <w:style w:type="character" w:customStyle="1" w:styleId="Char11">
    <w:name w:val="页眉 Char1"/>
    <w:basedOn w:val="a0"/>
    <w:link w:val="a7"/>
    <w:uiPriority w:val="99"/>
    <w:semiHidden/>
    <w:qFormat/>
    <w:rPr>
      <w:rFonts w:ascii="Calibri" w:eastAsia="宋体" w:hAnsi="Calibri" w:cs="Times New Roman"/>
      <w:sz w:val="18"/>
      <w:szCs w:val="18"/>
    </w:rPr>
  </w:style>
  <w:style w:type="character" w:customStyle="1" w:styleId="Char10">
    <w:name w:val="页脚 Char1"/>
    <w:basedOn w:val="a0"/>
    <w:link w:val="a6"/>
    <w:uiPriority w:val="99"/>
    <w:semiHidden/>
    <w:rPr>
      <w:rFonts w:ascii="Calibri" w:eastAsia="宋体" w:hAnsi="Calibri" w:cs="Times New Roman"/>
      <w:sz w:val="18"/>
      <w:szCs w:val="18"/>
    </w:rPr>
  </w:style>
  <w:style w:type="character" w:customStyle="1" w:styleId="Char1">
    <w:name w:val="批注框文本 Char"/>
    <w:basedOn w:val="a0"/>
    <w:link w:val="a5"/>
    <w:uiPriority w:val="99"/>
    <w:semiHidden/>
    <w:qFormat/>
    <w:rPr>
      <w:kern w:val="2"/>
      <w:sz w:val="18"/>
      <w:szCs w:val="18"/>
    </w:rPr>
  </w:style>
  <w:style w:type="paragraph" w:customStyle="1" w:styleId="1">
    <w:name w:val="列出段落1"/>
    <w:basedOn w:val="a"/>
    <w:uiPriority w:val="99"/>
    <w:unhideWhenUsed/>
    <w:qFormat/>
    <w:pPr>
      <w:ind w:firstLineChars="200" w:firstLine="420"/>
    </w:pPr>
    <w:rPr>
      <w:rFonts w:ascii="Times New Roman" w:hAnsi="Times New Roman"/>
      <w:szCs w:val="24"/>
    </w:rPr>
  </w:style>
  <w:style w:type="paragraph" w:customStyle="1" w:styleId="10">
    <w:name w:val="修订1"/>
    <w:hidden/>
    <w:uiPriority w:val="99"/>
    <w:unhideWhenUsed/>
    <w:qFormat/>
    <w:rPr>
      <w:rFonts w:ascii="Calibri" w:eastAsia="宋体" w:hAnsi="Calibri" w:cs="Times New Roman"/>
      <w:kern w:val="2"/>
      <w:sz w:val="21"/>
      <w:szCs w:val="22"/>
    </w:rPr>
  </w:style>
  <w:style w:type="character" w:customStyle="1" w:styleId="Char">
    <w:name w:val="批注主题 Char"/>
    <w:basedOn w:val="Char0"/>
    <w:link w:val="a3"/>
    <w:uiPriority w:val="99"/>
    <w:semiHidden/>
    <w:qFormat/>
    <w:rPr>
      <w:rFonts w:ascii="Calibri" w:hAnsi="Calibri"/>
      <w:b/>
      <w:bCs/>
      <w:kern w:val="2"/>
      <w:sz w:val="21"/>
      <w:szCs w:val="22"/>
    </w:rPr>
  </w:style>
  <w:style w:type="paragraph" w:customStyle="1" w:styleId="2">
    <w:name w:val="修订2"/>
    <w:hidden/>
    <w:uiPriority w:val="99"/>
    <w:semiHidden/>
    <w:qFormat/>
    <w:rPr>
      <w:rFonts w:ascii="Calibri" w:eastAsia="宋体" w:hAnsi="Calibri" w:cs="Times New Roman"/>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uiPriority="0" w:unhideWhenUsed="0" w:qFormat="1"/>
    <w:lsdException w:name="footer" w:semiHidden="0" w:uiPriority="0" w:unhideWhenUsed="0"/>
    <w:lsdException w:name="caption" w:uiPriority="35" w:qFormat="1"/>
    <w:lsdException w:name="annotation reference" w:semiHidden="0"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annotation subject"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Pr>
      <w:rFonts w:ascii="Calibri" w:hAnsi="Calibri"/>
      <w:b/>
      <w:bCs/>
      <w:szCs w:val="22"/>
    </w:rPr>
  </w:style>
  <w:style w:type="paragraph" w:styleId="a4">
    <w:name w:val="annotation text"/>
    <w:basedOn w:val="a"/>
    <w:link w:val="Char0"/>
    <w:uiPriority w:val="99"/>
    <w:unhideWhenUsed/>
    <w:pPr>
      <w:jc w:val="left"/>
    </w:pPr>
    <w:rPr>
      <w:rFonts w:ascii="Times New Roman" w:hAnsi="Times New Roman"/>
      <w:szCs w:val="24"/>
    </w:rPr>
  </w:style>
  <w:style w:type="paragraph" w:styleId="a5">
    <w:name w:val="Balloon Text"/>
    <w:basedOn w:val="a"/>
    <w:link w:val="Char1"/>
    <w:uiPriority w:val="99"/>
    <w:unhideWhenUsed/>
    <w:qFormat/>
    <w:rPr>
      <w:sz w:val="18"/>
      <w:szCs w:val="18"/>
    </w:rPr>
  </w:style>
  <w:style w:type="paragraph" w:styleId="a6">
    <w:name w:val="footer"/>
    <w:basedOn w:val="a"/>
    <w:link w:val="Char10"/>
    <w:pPr>
      <w:tabs>
        <w:tab w:val="center" w:pos="4153"/>
        <w:tab w:val="right" w:pos="8306"/>
      </w:tabs>
      <w:snapToGrid w:val="0"/>
      <w:jc w:val="left"/>
    </w:pPr>
    <w:rPr>
      <w:sz w:val="18"/>
      <w:szCs w:val="18"/>
    </w:rPr>
  </w:style>
  <w:style w:type="paragraph" w:styleId="a7">
    <w:name w:val="header"/>
    <w:basedOn w:val="a"/>
    <w:link w:val="Char11"/>
    <w:semiHidden/>
    <w:qFormat/>
    <w:pPr>
      <w:pBdr>
        <w:bottom w:val="single" w:sz="6" w:space="1" w:color="auto"/>
      </w:pBdr>
      <w:tabs>
        <w:tab w:val="center" w:pos="4153"/>
        <w:tab w:val="right" w:pos="8306"/>
      </w:tabs>
      <w:snapToGrid w:val="0"/>
      <w:jc w:val="center"/>
    </w:pPr>
    <w:rPr>
      <w:sz w:val="18"/>
      <w:szCs w:val="18"/>
    </w:rPr>
  </w:style>
  <w:style w:type="character" w:styleId="a8">
    <w:name w:val="Strong"/>
    <w:basedOn w:val="a0"/>
    <w:uiPriority w:val="22"/>
    <w:qFormat/>
    <w:rPr>
      <w:b/>
    </w:rPr>
  </w:style>
  <w:style w:type="character" w:styleId="a9">
    <w:name w:val="Emphasis"/>
    <w:basedOn w:val="a0"/>
    <w:uiPriority w:val="20"/>
    <w:qFormat/>
    <w:rPr>
      <w:i/>
      <w:iCs/>
    </w:rPr>
  </w:style>
  <w:style w:type="character" w:styleId="aa">
    <w:name w:val="Hyperlink"/>
    <w:basedOn w:val="a0"/>
    <w:uiPriority w:val="99"/>
    <w:unhideWhenUsed/>
    <w:qFormat/>
    <w:rPr>
      <w:color w:val="0000FF" w:themeColor="hyperlink"/>
      <w:u w:val="single"/>
    </w:rPr>
  </w:style>
  <w:style w:type="character" w:styleId="ab">
    <w:name w:val="annotation reference"/>
    <w:basedOn w:val="a0"/>
    <w:uiPriority w:val="99"/>
    <w:unhideWhenUsed/>
    <w:qFormat/>
    <w:rPr>
      <w:sz w:val="21"/>
      <w:szCs w:val="21"/>
    </w:rPr>
  </w:style>
  <w:style w:type="character" w:customStyle="1" w:styleId="Char0">
    <w:name w:val="批注文字 Char"/>
    <w:basedOn w:val="a0"/>
    <w:link w:val="a4"/>
    <w:uiPriority w:val="99"/>
    <w:semiHidden/>
    <w:qFormat/>
    <w:rPr>
      <w:rFonts w:ascii="Times New Roman" w:hAnsi="Times New Roman"/>
      <w:kern w:val="2"/>
      <w:sz w:val="21"/>
      <w:szCs w:val="24"/>
    </w:rPr>
  </w:style>
  <w:style w:type="character" w:customStyle="1" w:styleId="Char2">
    <w:name w:val="页脚 Char"/>
    <w:basedOn w:val="a0"/>
    <w:qFormat/>
    <w:locked/>
    <w:rPr>
      <w:rFonts w:cs="Times New Roman"/>
      <w:sz w:val="18"/>
      <w:szCs w:val="18"/>
    </w:rPr>
  </w:style>
  <w:style w:type="character" w:customStyle="1" w:styleId="Char3">
    <w:name w:val="页眉 Char"/>
    <w:basedOn w:val="a0"/>
    <w:semiHidden/>
    <w:qFormat/>
    <w:locked/>
    <w:rPr>
      <w:rFonts w:cs="Times New Roman"/>
      <w:sz w:val="18"/>
      <w:szCs w:val="18"/>
    </w:rPr>
  </w:style>
  <w:style w:type="character" w:customStyle="1" w:styleId="Char11">
    <w:name w:val="页眉 Char1"/>
    <w:basedOn w:val="a0"/>
    <w:link w:val="a7"/>
    <w:uiPriority w:val="99"/>
    <w:semiHidden/>
    <w:qFormat/>
    <w:rPr>
      <w:rFonts w:ascii="Calibri" w:eastAsia="宋体" w:hAnsi="Calibri" w:cs="Times New Roman"/>
      <w:sz w:val="18"/>
      <w:szCs w:val="18"/>
    </w:rPr>
  </w:style>
  <w:style w:type="character" w:customStyle="1" w:styleId="Char10">
    <w:name w:val="页脚 Char1"/>
    <w:basedOn w:val="a0"/>
    <w:link w:val="a6"/>
    <w:uiPriority w:val="99"/>
    <w:semiHidden/>
    <w:rPr>
      <w:rFonts w:ascii="Calibri" w:eastAsia="宋体" w:hAnsi="Calibri" w:cs="Times New Roman"/>
      <w:sz w:val="18"/>
      <w:szCs w:val="18"/>
    </w:rPr>
  </w:style>
  <w:style w:type="character" w:customStyle="1" w:styleId="Char1">
    <w:name w:val="批注框文本 Char"/>
    <w:basedOn w:val="a0"/>
    <w:link w:val="a5"/>
    <w:uiPriority w:val="99"/>
    <w:semiHidden/>
    <w:qFormat/>
    <w:rPr>
      <w:kern w:val="2"/>
      <w:sz w:val="18"/>
      <w:szCs w:val="18"/>
    </w:rPr>
  </w:style>
  <w:style w:type="paragraph" w:customStyle="1" w:styleId="1">
    <w:name w:val="列出段落1"/>
    <w:basedOn w:val="a"/>
    <w:uiPriority w:val="99"/>
    <w:unhideWhenUsed/>
    <w:qFormat/>
    <w:pPr>
      <w:ind w:firstLineChars="200" w:firstLine="420"/>
    </w:pPr>
    <w:rPr>
      <w:rFonts w:ascii="Times New Roman" w:hAnsi="Times New Roman"/>
      <w:szCs w:val="24"/>
    </w:rPr>
  </w:style>
  <w:style w:type="paragraph" w:customStyle="1" w:styleId="10">
    <w:name w:val="修订1"/>
    <w:hidden/>
    <w:uiPriority w:val="99"/>
    <w:unhideWhenUsed/>
    <w:qFormat/>
    <w:rPr>
      <w:rFonts w:ascii="Calibri" w:eastAsia="宋体" w:hAnsi="Calibri" w:cs="Times New Roman"/>
      <w:kern w:val="2"/>
      <w:sz w:val="21"/>
      <w:szCs w:val="22"/>
    </w:rPr>
  </w:style>
  <w:style w:type="character" w:customStyle="1" w:styleId="Char">
    <w:name w:val="批注主题 Char"/>
    <w:basedOn w:val="Char0"/>
    <w:link w:val="a3"/>
    <w:uiPriority w:val="99"/>
    <w:semiHidden/>
    <w:qFormat/>
    <w:rPr>
      <w:rFonts w:ascii="Calibri" w:hAnsi="Calibri"/>
      <w:b/>
      <w:bCs/>
      <w:kern w:val="2"/>
      <w:sz w:val="21"/>
      <w:szCs w:val="22"/>
    </w:rPr>
  </w:style>
  <w:style w:type="paragraph" w:customStyle="1" w:styleId="2">
    <w:name w:val="修订2"/>
    <w:hidden/>
    <w:uiPriority w:val="99"/>
    <w:semiHidden/>
    <w:qFormat/>
    <w:rPr>
      <w:rFonts w:ascii="Calibri" w:eastAsia="宋体" w:hAnsi="Calibri"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6</Pages>
  <Words>335</Words>
  <Characters>1915</Characters>
  <Application>Microsoft Office Word</Application>
  <DocSecurity>0</DocSecurity>
  <Lines>15</Lines>
  <Paragraphs>4</Paragraphs>
  <ScaleCrop>false</ScaleCrop>
  <Company/>
  <LinksUpToDate>false</LinksUpToDate>
  <CharactersWithSpaces>2246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印厂</cp:lastModifiedBy>
  <cp:revision>33</cp:revision>
  <cp:lastPrinted>2020-04-30T14:29:00Z</cp:lastPrinted>
  <dcterms:created xsi:type="dcterms:W3CDTF">2018-07-21T14:31:00Z</dcterms:created>
  <dcterms:modified xsi:type="dcterms:W3CDTF">2020-05-11T07:14:00Z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2052-10.8.0.7026</vt:lpwstr>
  </property>
</Properties>
</file>