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tLeast"/>
        <w:ind w:firstLine="0"/>
        <w:rPr>
          <w:rFonts w:ascii="黑体" w:hAnsi="黑体" w:eastAsia="黑体"/>
          <w:snapToGrid/>
          <w:color w:val="000000"/>
          <w:kern w:val="2"/>
          <w:szCs w:val="32"/>
        </w:rPr>
      </w:pPr>
      <w:r>
        <w:rPr>
          <w:rFonts w:ascii="黑体" w:hAnsi="黑体" w:eastAsia="黑体"/>
          <w:snapToGrid/>
          <w:color w:val="000000"/>
          <w:kern w:val="2"/>
          <w:szCs w:val="32"/>
        </w:rPr>
        <w:t>附件4</w:t>
      </w:r>
    </w:p>
    <w:p>
      <w:pPr>
        <w:autoSpaceDE/>
        <w:autoSpaceDN/>
        <w:adjustRightInd w:val="0"/>
        <w:spacing w:line="240" w:lineRule="atLeast"/>
        <w:ind w:firstLine="0"/>
        <w:jc w:val="center"/>
        <w:rPr>
          <w:rFonts w:ascii="方正小标宋简体" w:hAnsi="方正小标宋_GBK" w:eastAsia="方正小标宋简体" w:cs="方正小标宋_GBK"/>
          <w:snapToGrid/>
          <w:color w:val="000000"/>
          <w:kern w:val="2"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snapToGrid/>
          <w:color w:val="000000"/>
          <w:kern w:val="2"/>
          <w:sz w:val="44"/>
          <w:szCs w:val="44"/>
        </w:rPr>
        <w:t>江苏省入围决赛案例名单</w:t>
      </w:r>
    </w:p>
    <w:p>
      <w:pPr>
        <w:autoSpaceDE/>
        <w:autoSpaceDN/>
        <w:adjustRightInd w:val="0"/>
        <w:spacing w:line="200" w:lineRule="exact"/>
        <w:ind w:firstLine="0"/>
        <w:jc w:val="center"/>
        <w:rPr>
          <w:rFonts w:hint="default" w:ascii="Times New Roman" w:hAnsi="Times New Roman" w:eastAsia="方正黑体_GBK" w:cs="Times New Roman"/>
          <w:snapToGrid/>
          <w:color w:val="000000"/>
          <w:kern w:val="2"/>
          <w:sz w:val="44"/>
          <w:szCs w:val="44"/>
        </w:rPr>
      </w:pPr>
    </w:p>
    <w:tbl>
      <w:tblPr>
        <w:tblStyle w:val="2"/>
        <w:tblpPr w:leftFromText="180" w:rightFromText="180" w:vertAnchor="text" w:horzAnchor="page" w:tblpXSpec="center" w:tblpY="212"/>
        <w:tblOverlap w:val="never"/>
        <w:tblW w:w="1030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1"/>
        <w:gridCol w:w="731"/>
        <w:gridCol w:w="5103"/>
        <w:gridCol w:w="362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exac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20" w:lineRule="atLeast"/>
              <w:ind w:firstLine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4"/>
                <w:szCs w:val="24"/>
                <w:lang w:bidi="ar"/>
              </w:rPr>
              <w:t>项目</w:t>
            </w:r>
          </w:p>
          <w:p>
            <w:pPr>
              <w:widowControl/>
              <w:autoSpaceDE/>
              <w:autoSpaceDN/>
              <w:snapToGrid/>
              <w:spacing w:line="220" w:lineRule="atLeast"/>
              <w:ind w:firstLine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20" w:lineRule="atLeast"/>
              <w:ind w:firstLine="0"/>
              <w:jc w:val="center"/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kern w:val="2"/>
                <w:sz w:val="28"/>
                <w:szCs w:val="28"/>
              </w:rPr>
              <w:t>序号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20" w:lineRule="atLeast"/>
              <w:ind w:firstLine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8"/>
                <w:szCs w:val="28"/>
                <w:lang w:bidi="ar"/>
              </w:rPr>
              <w:t>单位、案例或项目名称</w:t>
            </w:r>
          </w:p>
        </w:tc>
        <w:tc>
          <w:tcPr>
            <w:tcW w:w="362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utoSpaceDE/>
              <w:autoSpaceDN/>
              <w:snapToGrid/>
              <w:spacing w:line="220" w:lineRule="atLeast"/>
              <w:ind w:firstLine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黑体_GBK" w:cs="Times New Roman"/>
                <w:bCs/>
                <w:snapToGrid/>
                <w:color w:val="000000"/>
                <w:spacing w:val="-20"/>
                <w:sz w:val="28"/>
                <w:szCs w:val="28"/>
                <w:lang w:bidi="ar"/>
              </w:rPr>
              <w:t>申报单位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先导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单位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120" w:firstLineChars="5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江苏省广播电视总台融媒体新闻三部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2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无锡广播电视集团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无锡广播电视集团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张家港市融媒体中心（传媒集团）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张家港市融媒体中心（传媒集团）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宿迁市广播电视总台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宿迁市广播电视总台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exact"/>
          <w:jc w:val="center"/>
        </w:trPr>
        <w:tc>
          <w:tcPr>
            <w:tcW w:w="8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成长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项目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依托国家文化大数据华东区域中心孵化衍生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创新应用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江苏省广电有线信息网络股份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有限公司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2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银杏融媒综合服务平台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邳州市融媒体中心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让古运河重生·“扬州游礼”文创季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扬州广播电视台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8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“融”数据 “融”生活 打造普惠群众生活的城市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综合服务平台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江阴市融媒体中心（传媒集团）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exact"/>
          <w:jc w:val="center"/>
        </w:trPr>
        <w:tc>
          <w:tcPr>
            <w:tcW w:w="85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120" w:firstLineChars="5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  <w:t>典型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120" w:firstLineChars="5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  <w:t>案例</w:t>
            </w:r>
          </w:p>
        </w:tc>
        <w:tc>
          <w:tcPr>
            <w:tcW w:w="731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融媒体专栏《污染防治在攻坚•263在行动》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2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牛咔视频 云上南京——以自主可控移动平台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建设推进主力军挺进主战场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南京广播电视集团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城市文旅IP剧《面若桃花》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苏州市广播电视总台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小小工作室  闯出大天地——昆山县融品牌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工作室的创新探索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昆山市融媒体中心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exact"/>
          <w:jc w:val="center"/>
        </w:trPr>
        <w:tc>
          <w:tcPr>
            <w:tcW w:w="851" w:type="dxa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人物观察类微纪录片《不一样的人生》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江苏省广播电视总台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exact"/>
          <w:jc w:val="center"/>
        </w:trPr>
        <w:tc>
          <w:tcPr>
            <w:tcW w:w="851" w:type="dxa"/>
            <w:vMerge w:val="restart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  <w:t>融合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  <w:t>传播力案例</w:t>
            </w: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2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纪录片《小康江南》开创跨区域融合传播新模式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南京广播电视集团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exact"/>
          <w:jc w:val="center"/>
        </w:trPr>
        <w:tc>
          <w:tcPr>
            <w:tcW w:w="85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sz w:val="28"/>
                <w:szCs w:val="28"/>
                <w:lang w:bidi="ar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《太湖会客厅》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苏州市广播电视总台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  <w:jc w:val="center"/>
        </w:trPr>
        <w:tc>
          <w:tcPr>
            <w:tcW w:w="851" w:type="dxa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2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深融深耕深联下的全媒体立体传播模式构建</w:t>
            </w:r>
          </w:p>
        </w:tc>
        <w:tc>
          <w:tcPr>
            <w:tcW w:w="3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20"/>
                <w:sz w:val="28"/>
                <w:szCs w:val="28"/>
              </w:rPr>
              <w:t>沛县融媒体中心</w:t>
            </w:r>
          </w:p>
        </w:tc>
      </w:tr>
    </w:tbl>
    <w:p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FD4233"/>
    <w:rsid w:val="4FFD4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2022-07-27T00:43:00Z</dcterms:created>
  <dc:creator>仇乐</dc:creator>
  <cp:lastModifiedBy>仇乐</cp:lastModifiedBy>
  <dcterms:modified xsi:type="dcterms:W3CDTF">2022-07-27T00:46:37Z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