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napToGrid w:val="0"/>
        <w:spacing w:before="0" w:beforeAutospacing="0" w:after="0" w:afterAutospacing="0" w:line="700" w:lineRule="exact"/>
        <w:rPr>
          <w:rFonts w:ascii="Times New Roman" w:hAnsi="Times New Roman" w:eastAsia="方正黑体_GBK"/>
          <w:sz w:val="32"/>
          <w:szCs w:val="28"/>
        </w:rPr>
      </w:pPr>
      <w:r>
        <w:rPr>
          <w:rFonts w:ascii="Times New Roman" w:hAnsi="Times New Roman" w:eastAsia="方正黑体_GBK"/>
          <w:sz w:val="32"/>
          <w:szCs w:val="28"/>
        </w:rPr>
        <w:t>附件2</w:t>
      </w:r>
    </w:p>
    <w:p>
      <w:pPr>
        <w:pStyle w:val="2"/>
        <w:shd w:val="clear" w:color="auto" w:fill="FFFFFF"/>
        <w:snapToGrid w:val="0"/>
        <w:spacing w:before="0" w:beforeAutospacing="0" w:after="0" w:afterAutospacing="0" w:line="640" w:lineRule="exact"/>
        <w:jc w:val="center"/>
        <w:rPr>
          <w:rFonts w:ascii="方正小标宋_GBK" w:hAnsi="黑体" w:eastAsia="方正小标宋_GBK" w:cs="黑体"/>
          <w:sz w:val="40"/>
          <w:szCs w:val="36"/>
        </w:rPr>
      </w:pPr>
      <w:bookmarkStart w:id="1" w:name="_GoBack"/>
      <w:bookmarkEnd w:id="1"/>
    </w:p>
    <w:p>
      <w:pPr>
        <w:pStyle w:val="2"/>
        <w:shd w:val="clear" w:color="auto" w:fill="FFFFFF"/>
        <w:snapToGrid w:val="0"/>
        <w:spacing w:before="0" w:beforeAutospacing="0" w:after="0" w:afterAutospacing="0" w:line="640" w:lineRule="exact"/>
        <w:jc w:val="center"/>
        <w:rPr>
          <w:rFonts w:ascii="方正小标宋_GBK" w:hAnsi="黑体" w:eastAsia="方正小标宋_GBK" w:cs="黑体"/>
          <w:sz w:val="44"/>
          <w:szCs w:val="44"/>
        </w:rPr>
      </w:pPr>
      <w:r>
        <w:rPr>
          <w:rFonts w:hint="eastAsia" w:ascii="方正小标宋_GBK" w:hAnsi="黑体" w:eastAsia="方正小标宋_GBK" w:cs="黑体"/>
          <w:sz w:val="44"/>
          <w:szCs w:val="44"/>
        </w:rPr>
        <w:t>关于</w:t>
      </w:r>
      <w:r>
        <w:rPr>
          <w:rFonts w:ascii="Times New Roman" w:hAnsi="Times New Roman" w:eastAsia="方正小标宋_GBK"/>
          <w:sz w:val="44"/>
          <w:szCs w:val="44"/>
        </w:rPr>
        <w:t>2020</w:t>
      </w:r>
      <w:r>
        <w:rPr>
          <w:rFonts w:hint="eastAsia" w:ascii="方正小标宋_GBK" w:hAnsi="黑体" w:eastAsia="方正小标宋_GBK" w:cs="黑体"/>
          <w:sz w:val="44"/>
          <w:szCs w:val="44"/>
        </w:rPr>
        <w:t>长三角高新视听博览会</w:t>
      </w:r>
    </w:p>
    <w:p>
      <w:pPr>
        <w:pStyle w:val="2"/>
        <w:shd w:val="clear" w:color="auto" w:fill="FFFFFF"/>
        <w:snapToGrid w:val="0"/>
        <w:spacing w:before="0" w:beforeAutospacing="0" w:after="0" w:afterAutospacing="0" w:line="640" w:lineRule="exact"/>
        <w:jc w:val="center"/>
        <w:rPr>
          <w:rFonts w:ascii="方正小标宋_GBK" w:hAnsi="黑体" w:eastAsia="方正小标宋_GBK" w:cs="黑体"/>
          <w:sz w:val="44"/>
          <w:szCs w:val="44"/>
        </w:rPr>
      </w:pPr>
      <w:r>
        <w:rPr>
          <w:rFonts w:hint="eastAsia" w:ascii="方正小标宋_GBK" w:hAnsi="黑体" w:eastAsia="方正小标宋_GBK" w:cs="黑体"/>
          <w:sz w:val="44"/>
          <w:szCs w:val="44"/>
        </w:rPr>
        <w:t>各市展区筹办工作的相关要求</w:t>
      </w:r>
    </w:p>
    <w:p>
      <w:pPr>
        <w:pStyle w:val="2"/>
        <w:shd w:val="clear" w:color="auto" w:fill="FFFFFF"/>
        <w:spacing w:before="0" w:beforeAutospacing="0" w:after="0" w:afterAutospacing="0" w:line="450" w:lineRule="atLeast"/>
        <w:ind w:firstLine="566" w:firstLineChars="177"/>
        <w:contextualSpacing/>
        <w:jc w:val="both"/>
        <w:rPr>
          <w:rFonts w:ascii="方正仿宋_GBK" w:hAnsi="方正仿宋_GBK" w:eastAsia="方正仿宋_GBK" w:cs="方正仿宋_GBK"/>
          <w:sz w:val="32"/>
          <w:szCs w:val="28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contextualSpacing/>
        <w:jc w:val="both"/>
        <w:rPr>
          <w:rFonts w:ascii="方正仿宋_GBK" w:hAnsi="方正仿宋_GBK" w:eastAsia="方正仿宋_GBK" w:cs="方正仿宋_GBK"/>
          <w:sz w:val="32"/>
          <w:szCs w:val="28"/>
        </w:rPr>
      </w:pPr>
      <w:r>
        <w:rPr>
          <w:rFonts w:ascii="Times New Roman" w:hAnsi="Times New Roman" w:eastAsia="方正仿宋_GBK"/>
          <w:sz w:val="32"/>
          <w:szCs w:val="28"/>
        </w:rPr>
        <w:t>2020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长三角高新视听博览会是在国家广播电视总局指导下，由江苏省广电局牵头、其他两省一市广电局支持，共同协力搭建的产业交流对接平台，展会将致力于展示长三角地区内容生产繁荣、高新技术融合、产业布局优化、行业联动发展的新时代大视听全产业链市场发展格局，打造广电特点显著、融合特色鲜明、引领作用突出的展会品牌和国内国际一流的产业平台。为提升本届展会专业水平和服务质量，现对</w:t>
      </w:r>
      <w:r>
        <w:rPr>
          <w:rFonts w:ascii="Times New Roman" w:hAnsi="Times New Roman" w:eastAsia="方正仿宋_GBK"/>
          <w:sz w:val="32"/>
          <w:szCs w:val="28"/>
        </w:rPr>
        <w:t>2020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长三角高新视听博览会筹展工作提出如下工作要求：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723" w:firstLineChars="226"/>
        <w:contextualSpacing/>
        <w:jc w:val="both"/>
        <w:rPr>
          <w:rFonts w:ascii="方正黑体_GBK" w:hAnsi="黑体" w:eastAsia="方正黑体_GBK" w:cs="黑体"/>
          <w:sz w:val="32"/>
          <w:szCs w:val="28"/>
        </w:rPr>
      </w:pPr>
      <w:r>
        <w:rPr>
          <w:rFonts w:hint="eastAsia" w:ascii="方正黑体_GBK" w:hAnsi="黑体" w:eastAsia="方正黑体_GBK" w:cs="黑体"/>
          <w:sz w:val="32"/>
          <w:szCs w:val="28"/>
        </w:rPr>
        <w:t>一、工作内容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723" w:firstLineChars="226"/>
        <w:contextualSpacing/>
        <w:jc w:val="both"/>
        <w:rPr>
          <w:rFonts w:ascii="方正仿宋_GBK" w:hAnsi="方正仿宋_GBK" w:eastAsia="方正仿宋_GBK" w:cs="方正仿宋_GBK"/>
          <w:sz w:val="32"/>
          <w:szCs w:val="28"/>
        </w:rPr>
      </w:pPr>
      <w:r>
        <w:rPr>
          <w:rFonts w:hint="eastAsia" w:ascii="方正仿宋_GBK" w:hAnsi="方正仿宋_GBK" w:eastAsia="方正仿宋_GBK" w:cs="方正仿宋_GBK"/>
          <w:sz w:val="32"/>
          <w:szCs w:val="28"/>
        </w:rPr>
        <w:t>作为展会的重要组成部分，各市广播电视行政管理部门的工作内容主要包括三项：一是负责本地展区</w:t>
      </w:r>
      <w:r>
        <w:rPr>
          <w:rFonts w:ascii="Times New Roman" w:hAnsi="Times New Roman" w:eastAsia="方正仿宋_GBK"/>
          <w:sz w:val="32"/>
          <w:szCs w:val="28"/>
        </w:rPr>
        <w:t>（100—120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平米）组展工作，展陈内容须体现本地高新视听产业的发展成果、突出特点；二是组织参与博览会重要活动（如开幕式、分论坛、项目路演等）；三是组织落实宣传工作，提升展会的社会影响力和知名度。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contextualSpacing/>
        <w:jc w:val="both"/>
        <w:rPr>
          <w:rFonts w:ascii="方正黑体_GBK" w:hAnsi="黑体" w:eastAsia="方正黑体_GBK" w:cs="黑体"/>
          <w:sz w:val="32"/>
          <w:szCs w:val="28"/>
        </w:rPr>
      </w:pPr>
      <w:r>
        <w:rPr>
          <w:rFonts w:hint="eastAsia" w:ascii="方正黑体_GBK" w:hAnsi="黑体" w:eastAsia="方正黑体_GBK" w:cs="黑体"/>
          <w:sz w:val="32"/>
          <w:szCs w:val="28"/>
        </w:rPr>
        <w:t>二、工作安排</w:t>
      </w:r>
    </w:p>
    <w:p>
      <w:pPr>
        <w:spacing w:line="560" w:lineRule="exact"/>
        <w:ind w:firstLine="707" w:firstLineChars="221"/>
        <w:rPr>
          <w:rFonts w:ascii="方正仿宋_GBK" w:hAnsi="方正仿宋_GBK" w:eastAsia="方正仿宋_GBK" w:cs="方正仿宋_GBK"/>
          <w:sz w:val="32"/>
          <w:szCs w:val="28"/>
        </w:rPr>
      </w:pPr>
      <w:r>
        <w:rPr>
          <w:rFonts w:hint="eastAsia" w:ascii="方正楷体_GBK" w:hAnsi="方正仿宋_GBK" w:eastAsia="方正楷体_GBK" w:cs="方正仿宋_GBK"/>
          <w:bCs/>
          <w:kern w:val="0"/>
          <w:sz w:val="32"/>
          <w:szCs w:val="28"/>
        </w:rPr>
        <w:t>（一）组织方式及参展面积：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本届展会各地市组展工作由各市广播电视行政管理部门牵头组织，辖区内播出机构协同承办，展览面积为各</w:t>
      </w:r>
      <w:r>
        <w:rPr>
          <w:rFonts w:ascii="Times New Roman" w:hAnsi="Times New Roman" w:eastAsia="方正仿宋_GBK" w:cs="Times New Roman"/>
          <w:sz w:val="32"/>
          <w:szCs w:val="28"/>
        </w:rPr>
        <w:t>100</w:t>
      </w:r>
      <w:r>
        <w:rPr>
          <w:rFonts w:hint="eastAsia" w:ascii="Times New Roman" w:hAnsi="Times New Roman" w:eastAsia="方正仿宋_GBK" w:cs="Times New Roman"/>
          <w:sz w:val="32"/>
          <w:szCs w:val="28"/>
        </w:rPr>
        <w:t>—</w:t>
      </w:r>
      <w:r>
        <w:rPr>
          <w:rFonts w:ascii="Times New Roman" w:hAnsi="Times New Roman" w:eastAsia="方正仿宋_GBK" w:cs="Times New Roman"/>
          <w:sz w:val="32"/>
          <w:szCs w:val="28"/>
        </w:rPr>
        <w:t>120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平米。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contextualSpacing/>
        <w:jc w:val="both"/>
        <w:rPr>
          <w:rFonts w:ascii="方正仿宋_GBK" w:hAnsi="方正仿宋_GBK" w:eastAsia="方正仿宋_GBK" w:cs="方正仿宋_GBK"/>
          <w:sz w:val="32"/>
          <w:szCs w:val="28"/>
        </w:rPr>
      </w:pPr>
      <w:r>
        <w:rPr>
          <w:rFonts w:hint="eastAsia" w:ascii="方正楷体_GBK" w:hAnsi="方正仿宋_GBK" w:eastAsia="方正楷体_GBK" w:cs="方正仿宋_GBK"/>
          <w:bCs/>
          <w:sz w:val="32"/>
          <w:szCs w:val="28"/>
        </w:rPr>
        <w:t>（二）参展方式及资金安排：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为满足充分体现各省市高新视听产业总体面貌，又尽量不增加资金压力的要求，本届展会免收展位费。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contextualSpacing/>
        <w:jc w:val="both"/>
        <w:rPr>
          <w:rFonts w:ascii="方正仿宋_GBK" w:hAnsi="方正仿宋_GBK" w:eastAsia="方正仿宋_GBK" w:cs="方正仿宋_GBK"/>
          <w:sz w:val="32"/>
          <w:szCs w:val="28"/>
        </w:rPr>
      </w:pPr>
      <w:r>
        <w:rPr>
          <w:rFonts w:hint="eastAsia" w:ascii="方正楷体_GBK" w:hAnsi="方正仿宋_GBK" w:eastAsia="方正楷体_GBK" w:cs="方正仿宋_GBK"/>
          <w:bCs/>
          <w:sz w:val="32"/>
          <w:szCs w:val="28"/>
        </w:rPr>
        <w:t>（三）报馆说明：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承办单位拟于</w:t>
      </w:r>
      <w:r>
        <w:rPr>
          <w:rFonts w:ascii="Times New Roman" w:hAnsi="Times New Roman" w:eastAsia="方正仿宋_GBK"/>
          <w:sz w:val="32"/>
          <w:szCs w:val="28"/>
        </w:rPr>
        <w:t>2020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年</w:t>
      </w:r>
      <w:r>
        <w:rPr>
          <w:rFonts w:ascii="Times New Roman" w:hAnsi="Times New Roman" w:eastAsia="方正仿宋_GBK"/>
          <w:sz w:val="32"/>
          <w:szCs w:val="28"/>
        </w:rPr>
        <w:t>9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月上旬发布《</w:t>
      </w:r>
      <w:r>
        <w:rPr>
          <w:rFonts w:ascii="Times New Roman" w:hAnsi="Times New Roman" w:eastAsia="方正仿宋_GBK"/>
          <w:sz w:val="32"/>
          <w:szCs w:val="28"/>
        </w:rPr>
        <w:t>2020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长三角高新视听博览会—参展商手册》，包括：报馆流程说明、特装展台设计方案审核、展馆电箱和网线等强弱电设施租赁、特殊展品清关报批、场地管理费缴纳、施工人员证件和货车证办理等内容。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contextualSpacing/>
        <w:jc w:val="both"/>
        <w:rPr>
          <w:rFonts w:ascii="Times New Roman" w:hAnsi="Times New Roman" w:eastAsia="方正仿宋_GBK"/>
          <w:sz w:val="32"/>
          <w:szCs w:val="28"/>
        </w:rPr>
      </w:pPr>
      <w:r>
        <w:rPr>
          <w:rFonts w:hint="eastAsia" w:ascii="方正楷体_GBK" w:hAnsi="方正仿宋_GBK" w:eastAsia="方正楷体_GBK" w:cs="方正仿宋_GBK"/>
          <w:bCs/>
          <w:sz w:val="32"/>
          <w:szCs w:val="28"/>
        </w:rPr>
        <w:t>（四）推进计划：</w:t>
      </w:r>
      <w:r>
        <w:rPr>
          <w:rFonts w:ascii="Times New Roman" w:hAnsi="Times New Roman" w:eastAsia="方正仿宋_GBK"/>
          <w:sz w:val="32"/>
          <w:szCs w:val="28"/>
        </w:rPr>
        <w:t>2020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年</w:t>
      </w:r>
      <w:r>
        <w:rPr>
          <w:rFonts w:ascii="Times New Roman" w:hAnsi="Times New Roman" w:eastAsia="方正仿宋_GBK"/>
          <w:sz w:val="32"/>
          <w:szCs w:val="28"/>
        </w:rPr>
        <w:t>7</w:t>
      </w:r>
      <w:r>
        <w:rPr>
          <w:rFonts w:hint="eastAsia" w:ascii="方正仿宋_GBK" w:hAnsi="方正仿宋_GBK" w:eastAsia="方正仿宋_GBK" w:cs="方正仿宋_GBK"/>
          <w:sz w:val="32"/>
          <w:szCs w:val="28"/>
        </w:rPr>
        <w:t>月底，各市局将本地的组展</w:t>
      </w:r>
      <w:r>
        <w:rPr>
          <w:rFonts w:ascii="Times New Roman" w:hAnsi="Times New Roman" w:eastAsia="方正仿宋_GBK"/>
          <w:sz w:val="32"/>
          <w:szCs w:val="28"/>
        </w:rPr>
        <w:t>初步方案上报省局；8月初由承办单位提供各地市参展平面规划方案；8月底由各地市提报展陈规划方案；9月底完成报馆工作；10月13</w:t>
      </w:r>
      <w:r>
        <w:rPr>
          <w:rFonts w:hint="eastAsia" w:ascii="Times New Roman" w:hAnsi="Times New Roman" w:eastAsia="方正仿宋_GBK"/>
          <w:sz w:val="32"/>
          <w:szCs w:val="28"/>
        </w:rPr>
        <w:t>—</w:t>
      </w:r>
      <w:r>
        <w:rPr>
          <w:rFonts w:ascii="Times New Roman" w:hAnsi="Times New Roman" w:eastAsia="方正仿宋_GBK"/>
          <w:sz w:val="32"/>
          <w:szCs w:val="28"/>
        </w:rPr>
        <w:t>15日进场布展，16</w:t>
      </w:r>
      <w:r>
        <w:rPr>
          <w:rFonts w:hint="eastAsia" w:ascii="Times New Roman" w:hAnsi="Times New Roman" w:eastAsia="方正仿宋_GBK"/>
          <w:sz w:val="32"/>
          <w:szCs w:val="28"/>
        </w:rPr>
        <w:t>—</w:t>
      </w:r>
      <w:r>
        <w:rPr>
          <w:rFonts w:ascii="Times New Roman" w:hAnsi="Times New Roman" w:eastAsia="方正仿宋_GBK"/>
          <w:sz w:val="32"/>
          <w:szCs w:val="28"/>
        </w:rPr>
        <w:t>18日开展运营，18日下午17</w:t>
      </w:r>
      <w:r>
        <w:rPr>
          <w:rFonts w:hint="eastAsia" w:ascii="Times New Roman" w:hAnsi="Times New Roman" w:eastAsia="方正仿宋_GBK"/>
          <w:sz w:val="32"/>
          <w:szCs w:val="28"/>
        </w:rPr>
        <w:t>：</w:t>
      </w:r>
      <w:r>
        <w:rPr>
          <w:rFonts w:ascii="Times New Roman" w:hAnsi="Times New Roman" w:eastAsia="方正仿宋_GBK"/>
          <w:sz w:val="32"/>
          <w:szCs w:val="28"/>
        </w:rPr>
        <w:t>00后撤展。</w:t>
      </w:r>
    </w:p>
    <w:p>
      <w:pPr>
        <w:spacing w:line="560" w:lineRule="exact"/>
        <w:ind w:firstLine="640" w:firstLineChars="200"/>
        <w:rPr>
          <w:rFonts w:ascii="方正黑体_GBK" w:hAnsi="黑体" w:eastAsia="方正黑体_GBK" w:cs="黑体"/>
          <w:sz w:val="32"/>
          <w:szCs w:val="28"/>
        </w:rPr>
      </w:pPr>
      <w:r>
        <w:rPr>
          <w:rFonts w:hint="eastAsia" w:ascii="方正黑体_GBK" w:hAnsi="黑体" w:eastAsia="方正黑体_GBK" w:cs="黑体"/>
          <w:sz w:val="32"/>
          <w:szCs w:val="28"/>
        </w:rPr>
        <w:t>三、展会共同推动措施</w:t>
      </w: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楷体_GBK" w:hAnsi="方正仿宋_GBK" w:eastAsia="方正楷体_GBK" w:cs="方正仿宋_GBK"/>
          <w:bCs/>
          <w:sz w:val="32"/>
          <w:szCs w:val="32"/>
        </w:rPr>
        <w:t>一是</w:t>
      </w:r>
      <w:bookmarkStart w:id="0" w:name="_Hlk39741573"/>
      <w:r>
        <w:rPr>
          <w:rFonts w:hint="eastAsia" w:ascii="方正楷体_GBK" w:hAnsi="方正仿宋_GBK" w:eastAsia="方正楷体_GBK" w:cs="方正仿宋_GBK"/>
          <w:bCs/>
          <w:sz w:val="32"/>
          <w:szCs w:val="32"/>
        </w:rPr>
        <w:t>拓展深度，加大各地市在各类媒体报道中的宣传力度。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在开展前，提供重点展示内容和展览亮点，由展会宣传组统筹发布；承办单位将提供展会自媒体宣传服务，加强亮点内容的宣传力度</w:t>
      </w:r>
      <w:bookmarkEnd w:id="0"/>
      <w:r>
        <w:rPr>
          <w:rFonts w:hint="eastAsia" w:ascii="方正仿宋_GBK" w:hAnsi="方正仿宋_GBK" w:eastAsia="方正仿宋_GBK" w:cs="方正仿宋_GBK"/>
          <w:sz w:val="32"/>
          <w:szCs w:val="32"/>
        </w:rPr>
        <w:t>。</w:t>
      </w:r>
    </w:p>
    <w:p>
      <w:r>
        <w:rPr>
          <w:rFonts w:hint="eastAsia" w:ascii="方正楷体_GBK" w:hAnsi="方正仿宋_GBK" w:eastAsia="方正楷体_GBK" w:cs="方正仿宋_GBK"/>
          <w:bCs/>
          <w:sz w:val="32"/>
          <w:szCs w:val="32"/>
        </w:rPr>
        <w:t>二是加强配合，提升参展服务组织工作效率</w:t>
      </w:r>
      <w:r>
        <w:rPr>
          <w:rFonts w:hint="eastAsia" w:ascii="方正楷体_GBK" w:hAnsi="方正仿宋_GBK" w:eastAsia="方正楷体_GBK" w:cs="方正仿宋_GBK"/>
          <w:sz w:val="32"/>
          <w:szCs w:val="32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承办单位将在本届展会中安排专人为各参展单位提供展商服务，提高展商和搭建单位沟通服务效率；改进布撤展及现场运营期间的服务流程，明确责任主体，提高展商服务效率；提前了解并汇总今年展馆的相关特别规定（如疫情防控、消防安全、人车进出等），尽量减少因信息不对称而造成的工作误解和矛盾。承办单位联系人：姜懿珍;</w:t>
      </w:r>
      <w:r>
        <w:rPr>
          <w:rFonts w:ascii="Times New Roman" w:hAnsi="Times New Roman" w:eastAsia="方正仿宋_GBK" w:cs="Times New Roman"/>
          <w:sz w:val="32"/>
          <w:szCs w:val="32"/>
        </w:rPr>
        <w:t>18363996740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（微信同）。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0" w:usb1="00000000" w:usb2="00000000" w:usb3="00000000" w:csb0="00000000" w:csb1="00000000"/>
  </w:font>
  <w:font w:name="方正小标宋_GBK">
    <w:panose1 w:val="03000509000000000000"/>
    <w:charset w:val="86"/>
    <w:family w:val="script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0" w:usb1="00000000" w:usb2="00000000" w:usb3="00000000" w:csb0="00000000" w:csb1="00000000"/>
  </w:font>
  <w:font w:name="方正楷体_GBK">
    <w:panose1 w:val="03000509000000000000"/>
    <w:charset w:val="86"/>
    <w:family w:val="script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6A6CED"/>
    <w:rsid w:val="066A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2020-07-13T03:21:00Z</dcterms:created>
  <dc:creator>STSK</dc:creator>
  <cp:lastModifiedBy>STSK</cp:lastModifiedBy>
  <dcterms:modified xsi:type="dcterms:W3CDTF">2020-07-13T03:23:08Z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