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shd w:val="clear" w:color="auto" w:fill="FFFFFF"/>
        <w:spacing w:before="0" w:beforeAutospacing="0" w:after="0" w:afterAutospacing="0" w:line="620" w:lineRule="exact"/>
        <w:ind w:firstLine="482"/>
        <w:jc w:val="center"/>
        <w:rPr>
          <w:rFonts w:ascii="华文中宋" w:hAnsi="华文中宋" w:eastAsia="华文中宋"/>
          <w:b/>
          <w:color w:val="000000"/>
          <w:sz w:val="44"/>
          <w:szCs w:val="44"/>
        </w:rPr>
      </w:pPr>
      <w:bookmarkStart w:id="0" w:name="_GoBack"/>
      <w:bookmarkEnd w:id="0"/>
      <w:r>
        <w:rPr>
          <w:rFonts w:hint="eastAsia" w:ascii="华文中宋" w:hAnsi="华文中宋" w:eastAsia="华文中宋"/>
          <w:b/>
          <w:color w:val="000000"/>
          <w:sz w:val="44"/>
          <w:szCs w:val="44"/>
        </w:rPr>
        <w:t>江苏省广播电视局2020年政府</w:t>
      </w:r>
    </w:p>
    <w:p>
      <w:pPr>
        <w:pStyle w:val="4"/>
        <w:shd w:val="clear" w:color="auto" w:fill="FFFFFF"/>
        <w:spacing w:before="0" w:beforeAutospacing="0" w:after="0" w:afterAutospacing="0" w:line="620" w:lineRule="exact"/>
        <w:ind w:firstLine="482"/>
        <w:jc w:val="center"/>
        <w:rPr>
          <w:rFonts w:ascii="华文中宋" w:hAnsi="华文中宋" w:eastAsia="华文中宋"/>
          <w:b/>
          <w:color w:val="000000"/>
          <w:sz w:val="44"/>
          <w:szCs w:val="44"/>
        </w:rPr>
      </w:pPr>
      <w:r>
        <w:rPr>
          <w:rFonts w:hint="eastAsia" w:ascii="华文中宋" w:hAnsi="华文中宋" w:eastAsia="华文中宋"/>
          <w:b/>
          <w:color w:val="000000"/>
          <w:sz w:val="44"/>
          <w:szCs w:val="44"/>
        </w:rPr>
        <w:t>信息公开工作年度报告</w:t>
      </w:r>
    </w:p>
    <w:p>
      <w:pPr>
        <w:pStyle w:val="4"/>
        <w:shd w:val="clear" w:color="auto" w:fill="FFFFFF"/>
        <w:spacing w:before="0" w:beforeAutospacing="0" w:after="0" w:afterAutospacing="0" w:line="620" w:lineRule="exact"/>
        <w:ind w:firstLine="482"/>
        <w:jc w:val="center"/>
        <w:rPr>
          <w:rFonts w:ascii="黑体" w:hAnsi="黑体" w:eastAsia="黑体"/>
          <w:b/>
          <w:color w:val="000000"/>
          <w:sz w:val="44"/>
          <w:szCs w:val="44"/>
        </w:rPr>
      </w:pPr>
    </w:p>
    <w:p>
      <w:pPr>
        <w:pStyle w:val="4"/>
        <w:shd w:val="clear" w:color="auto" w:fill="FFFFFF"/>
        <w:spacing w:before="0" w:beforeAutospacing="0" w:after="0" w:afterAutospacing="0" w:line="620" w:lineRule="exact"/>
        <w:ind w:firstLine="482"/>
        <w:rPr>
          <w:rFonts w:ascii="黑体" w:hAnsi="黑体" w:eastAsia="黑体"/>
          <w:color w:val="000000"/>
          <w:sz w:val="32"/>
          <w:szCs w:val="32"/>
        </w:rPr>
      </w:pPr>
      <w:r>
        <w:rPr>
          <w:rFonts w:hint="eastAsia" w:ascii="黑体" w:hAnsi="黑体" w:eastAsia="黑体"/>
          <w:color w:val="000000"/>
          <w:sz w:val="32"/>
          <w:szCs w:val="32"/>
        </w:rPr>
        <w:t>一、总体情况</w:t>
      </w:r>
    </w:p>
    <w:p>
      <w:pPr>
        <w:pStyle w:val="4"/>
        <w:shd w:val="clear" w:color="auto" w:fill="FFFFFF"/>
        <w:spacing w:before="0" w:beforeAutospacing="0" w:after="0" w:afterAutospacing="0" w:line="620" w:lineRule="exact"/>
        <w:ind w:firstLine="482"/>
        <w:rPr>
          <w:rFonts w:ascii="仿宋_GB2312" w:eastAsia="仿宋_GB2312"/>
          <w:spacing w:val="-12"/>
          <w:sz w:val="32"/>
          <w:szCs w:val="32"/>
        </w:rPr>
      </w:pPr>
      <w:r>
        <w:rPr>
          <w:rFonts w:hint="eastAsia" w:ascii="仿宋_GB2312" w:eastAsia="仿宋_GB2312"/>
          <w:color w:val="000000"/>
          <w:sz w:val="32"/>
          <w:szCs w:val="32"/>
        </w:rPr>
        <w:t>2020年，省广播电视局认真贯彻新修订的《政府信息公开条例》，按照《省政府办公厅关于印发江苏省全面推进政务公开工作实施细则的通知》要求，</w:t>
      </w:r>
      <w:r>
        <w:rPr>
          <w:rFonts w:ascii="仿宋_GB2312" w:eastAsia="仿宋_GB2312"/>
          <w:spacing w:val="-12"/>
          <w:sz w:val="32"/>
          <w:szCs w:val="32"/>
        </w:rPr>
        <w:t>紧紧围绕工作大局，</w:t>
      </w:r>
      <w:r>
        <w:rPr>
          <w:rFonts w:hint="eastAsia" w:ascii="仿宋_GB2312" w:eastAsia="仿宋_GB2312"/>
          <w:spacing w:val="-12"/>
          <w:sz w:val="32"/>
          <w:szCs w:val="32"/>
        </w:rPr>
        <w:t>公开发布信息，宣传解读</w:t>
      </w:r>
      <w:r>
        <w:rPr>
          <w:rFonts w:ascii="仿宋_GB2312" w:eastAsia="仿宋_GB2312"/>
          <w:spacing w:val="-12"/>
          <w:sz w:val="32"/>
          <w:szCs w:val="32"/>
        </w:rPr>
        <w:t>政策</w:t>
      </w:r>
      <w:r>
        <w:rPr>
          <w:rFonts w:hint="eastAsia" w:ascii="仿宋_GB2312" w:eastAsia="仿宋_GB2312"/>
          <w:spacing w:val="-12"/>
          <w:sz w:val="32"/>
          <w:szCs w:val="32"/>
        </w:rPr>
        <w:t>，加强监督考核，不断提高局政务公开工作正规化科学化水平。</w:t>
      </w:r>
    </w:p>
    <w:p>
      <w:pPr>
        <w:pStyle w:val="4"/>
        <w:shd w:val="clear" w:color="auto" w:fill="FFFFFF"/>
        <w:spacing w:before="0" w:beforeAutospacing="0" w:after="0" w:afterAutospacing="0" w:line="620" w:lineRule="exact"/>
        <w:ind w:firstLine="640" w:firstLineChars="200"/>
        <w:rPr>
          <w:rFonts w:ascii="仿宋_GB2312" w:eastAsia="仿宋_GB2312"/>
          <w:color w:val="000000"/>
          <w:sz w:val="32"/>
          <w:szCs w:val="32"/>
        </w:rPr>
      </w:pPr>
      <w:r>
        <w:rPr>
          <w:rFonts w:hint="eastAsia" w:ascii="黑体" w:hAnsi="黑体" w:eastAsia="黑体"/>
          <w:color w:val="000000"/>
          <w:sz w:val="32"/>
          <w:szCs w:val="32"/>
        </w:rPr>
        <w:t>主动公开情况。</w:t>
      </w:r>
      <w:r>
        <w:rPr>
          <w:rFonts w:hint="eastAsia" w:ascii="仿宋_GB2312" w:eastAsia="仿宋_GB2312"/>
          <w:color w:val="000000"/>
          <w:sz w:val="32"/>
          <w:szCs w:val="32"/>
        </w:rPr>
        <w:t>坚持“以公开为常态、不公开为例外”的原则，深入推进重大行政决策、行政权力运行、财政预决算、重大项目建设和“三公经费”等重点领域的公开工作,做到了重点领域的行政决策、执行、管理、服务、结果“五公开”，行政权力清单、财政资金信息、公共服务等重点领域信息及时在门户网站相关专题专栏公开。</w:t>
      </w:r>
      <w:r>
        <w:rPr>
          <w:rFonts w:hint="eastAsia" w:ascii="仿宋_GB2312" w:hAnsi="仿宋" w:eastAsia="仿宋_GB2312"/>
          <w:snapToGrid w:val="0"/>
          <w:color w:val="000000"/>
          <w:spacing w:val="-12"/>
          <w:sz w:val="32"/>
          <w:szCs w:val="32"/>
        </w:rPr>
        <w:t>2020年，局门户网站政府信息公开专栏（目录）中发布信息总数620条，发布政务公告、工作动态184条，行政审批（备案）结果公示436余条。</w:t>
      </w:r>
      <w:r>
        <w:rPr>
          <w:rFonts w:hint="eastAsia" w:ascii="仿宋_GB2312" w:eastAsia="仿宋_GB2312"/>
          <w:color w:val="000000"/>
          <w:sz w:val="32"/>
          <w:szCs w:val="32"/>
        </w:rPr>
        <w:t>认真落实《省政府办公厅关于做好全国和省人大代表建议政协提案办理结果公开工作的通知》要求，办结的8份人大建议、政协提案均在局门户网站公开。</w:t>
      </w:r>
    </w:p>
    <w:p>
      <w:pPr>
        <w:pStyle w:val="4"/>
        <w:shd w:val="clear" w:color="auto" w:fill="FFFFFF"/>
        <w:spacing w:before="0" w:beforeAutospacing="0" w:after="0" w:afterAutospacing="0" w:line="620" w:lineRule="exact"/>
        <w:ind w:firstLine="640" w:firstLineChars="200"/>
        <w:rPr>
          <w:rFonts w:ascii="仿宋_GB2312" w:eastAsia="仿宋_GB2312"/>
          <w:color w:val="000000"/>
          <w:sz w:val="32"/>
          <w:szCs w:val="32"/>
        </w:rPr>
      </w:pPr>
      <w:r>
        <w:rPr>
          <w:rFonts w:hint="eastAsia" w:ascii="黑体" w:hAnsi="黑体" w:eastAsia="黑体"/>
          <w:color w:val="000000"/>
          <w:sz w:val="32"/>
          <w:szCs w:val="32"/>
        </w:rPr>
        <w:t>依申请公开情况。</w:t>
      </w:r>
      <w:r>
        <w:rPr>
          <w:rFonts w:hint="eastAsia" w:ascii="仿宋_GB2312" w:eastAsia="仿宋_GB2312"/>
          <w:color w:val="000000"/>
          <w:sz w:val="32"/>
          <w:szCs w:val="32"/>
        </w:rPr>
        <w:t>在局门户网站设立“依申请公开”专栏，详细说明政务信息公开申请的方法、步骤及受理等各环节内容，随时保持社会公众依申请公开在线提交的渠道畅通，最大限度方便了群众。全年共收到信息公开申请9件，办结9件。</w:t>
      </w:r>
    </w:p>
    <w:p>
      <w:pPr>
        <w:pStyle w:val="4"/>
        <w:shd w:val="clear" w:color="auto" w:fill="FFFFFF"/>
        <w:spacing w:before="0" w:beforeAutospacing="0" w:after="0" w:afterAutospacing="0" w:line="620" w:lineRule="exact"/>
        <w:ind w:firstLine="640" w:firstLineChars="200"/>
        <w:rPr>
          <w:rFonts w:ascii="仿宋_GB2312" w:eastAsia="仿宋_GB2312"/>
          <w:color w:val="000000"/>
          <w:sz w:val="32"/>
          <w:szCs w:val="32"/>
        </w:rPr>
      </w:pPr>
      <w:r>
        <w:rPr>
          <w:rFonts w:hint="eastAsia" w:ascii="黑体" w:hAnsi="黑体" w:eastAsia="黑体"/>
          <w:color w:val="000000"/>
          <w:sz w:val="32"/>
          <w:szCs w:val="32"/>
        </w:rPr>
        <w:t>宣传解读情况。</w:t>
      </w:r>
      <w:r>
        <w:rPr>
          <w:rFonts w:hint="eastAsia" w:ascii="仿宋_GB2312" w:eastAsia="仿宋_GB2312"/>
          <w:color w:val="000000"/>
          <w:sz w:val="32"/>
          <w:szCs w:val="32"/>
        </w:rPr>
        <w:t>坚持围绕中心，服务大局，紧扣全省广播电视和网络视听行业的精品生产、公共服务、产业发展、行业管理等重要任务、重点工作、重大活动，精心组织“长三角高新视听博览会”“政风热线”“江苏省县级广播电视联合制作节目发布会”“2020江苏省广播电视媒体融合优秀案例评选成果发布”“2020长三角白暨豚原创网络视频大赛颁奖典礼”“2020年南京（国际）动漫创投大会入选提案公布”“‘剧美江苏’电视剧三年行动计划发布”等9场新闻发布、9次媒体采访，组织11篇新闻通稿，收到良好的宣传效果。</w:t>
      </w:r>
    </w:p>
    <w:p>
      <w:pPr>
        <w:pStyle w:val="4"/>
        <w:shd w:val="clear" w:color="auto" w:fill="FFFFFF"/>
        <w:spacing w:before="0" w:beforeAutospacing="0" w:after="0" w:afterAutospacing="0" w:line="620" w:lineRule="exact"/>
        <w:ind w:firstLine="640" w:firstLineChars="200"/>
        <w:rPr>
          <w:rFonts w:ascii="仿宋_GB2312" w:eastAsia="仿宋_GB2312"/>
          <w:color w:val="000000"/>
          <w:sz w:val="32"/>
          <w:szCs w:val="32"/>
        </w:rPr>
      </w:pPr>
      <w:r>
        <w:rPr>
          <w:rFonts w:hint="eastAsia" w:ascii="黑体" w:hAnsi="黑体" w:eastAsia="黑体"/>
          <w:color w:val="000000"/>
          <w:sz w:val="32"/>
          <w:szCs w:val="32"/>
        </w:rPr>
        <w:t>平台建设情况。</w:t>
      </w:r>
      <w:r>
        <w:rPr>
          <w:rFonts w:hint="eastAsia" w:ascii="仿宋_GB2312" w:eastAsia="仿宋_GB2312"/>
          <w:color w:val="000000"/>
          <w:sz w:val="32"/>
          <w:szCs w:val="32"/>
        </w:rPr>
        <w:t>在抓好局门户网站新闻发布的同时，通过采取组织媒体采访、发布新闻通稿、制作专题宣传片等多种形式，广泛借助广播、电视、报纸、互联网、新媒体等各种载体，全方位、多渠道加强新闻发布工作力度和相关政策解读深度，更好回应群众关切和咨询，为群众提供服务和帮助。2020年，局门户网站发布信息1790条，受理依申请公开事项9件、领导信箱信件91件、公众咨询182件；局官方微博发布信息538条，微信公众号发布信息540条。</w:t>
      </w:r>
    </w:p>
    <w:p>
      <w:pPr>
        <w:pStyle w:val="4"/>
        <w:shd w:val="clear" w:color="auto" w:fill="FFFFFF"/>
        <w:spacing w:before="0" w:beforeAutospacing="0" w:after="0" w:afterAutospacing="0" w:line="620" w:lineRule="exact"/>
        <w:ind w:firstLine="640" w:firstLineChars="200"/>
        <w:rPr>
          <w:rFonts w:ascii="仿宋_GB2312" w:eastAsia="仿宋_GB2312"/>
          <w:color w:val="000000"/>
          <w:spacing w:val="-12"/>
          <w:sz w:val="32"/>
          <w:szCs w:val="32"/>
        </w:rPr>
      </w:pPr>
      <w:r>
        <w:rPr>
          <w:rFonts w:hint="eastAsia" w:ascii="黑体" w:hAnsi="黑体" w:eastAsia="黑体"/>
          <w:color w:val="000000"/>
          <w:sz w:val="32"/>
          <w:szCs w:val="32"/>
        </w:rPr>
        <w:t>政府信息公开监督保障情况。</w:t>
      </w:r>
      <w:r>
        <w:rPr>
          <w:rFonts w:hint="eastAsia" w:ascii="仿宋_GB2312" w:eastAsia="仿宋_GB2312"/>
          <w:color w:val="000000"/>
          <w:sz w:val="32"/>
          <w:szCs w:val="32"/>
        </w:rPr>
        <w:t>坚持把政府信息公开、政策解读作为党组中心组学习一项重要内容，纳入2020年度全省广电工作要点和</w:t>
      </w:r>
      <w:r>
        <w:rPr>
          <w:rFonts w:hint="eastAsia" w:ascii="仿宋_GB2312" w:eastAsia="仿宋_GB2312"/>
          <w:color w:val="000000"/>
          <w:spacing w:val="-12"/>
          <w:sz w:val="32"/>
          <w:szCs w:val="32"/>
        </w:rPr>
        <w:t>绩效管理指标体系，严格执行局修订完善的政府信息公开指南、公开工作办法、主动公开制度、依申请公开制度、公开工作年度报告制度、公开责任追究制度、发布协调制度、公开工作考核制度等一系列工作制度，确保了政府信息公开监督保障严格规范，扎实有效。</w:t>
      </w:r>
    </w:p>
    <w:p>
      <w:pPr>
        <w:pStyle w:val="4"/>
        <w:shd w:val="clear" w:color="auto" w:fill="FFFFFF"/>
        <w:spacing w:before="0" w:beforeAutospacing="0" w:after="0" w:afterAutospacing="0" w:line="620" w:lineRule="exact"/>
        <w:ind w:firstLine="482"/>
        <w:rPr>
          <w:rFonts w:ascii="仿宋_GB2312" w:eastAsia="仿宋_GB2312"/>
          <w:color w:val="000000"/>
          <w:sz w:val="32"/>
          <w:szCs w:val="32"/>
        </w:rPr>
      </w:pPr>
      <w:r>
        <w:rPr>
          <w:rFonts w:hint="eastAsia" w:ascii="黑体" w:hAnsi="黑体" w:eastAsia="黑体"/>
          <w:color w:val="000000"/>
          <w:sz w:val="32"/>
          <w:szCs w:val="32"/>
        </w:rPr>
        <w:t>政府信息公开收费及减免情况。</w:t>
      </w:r>
      <w:r>
        <w:rPr>
          <w:rFonts w:hint="eastAsia" w:ascii="仿宋_GB2312" w:eastAsia="仿宋_GB2312"/>
          <w:color w:val="000000"/>
          <w:sz w:val="32"/>
          <w:szCs w:val="32"/>
        </w:rPr>
        <w:t>2020年，本局政府信息公开工作未收取任何费用。</w:t>
      </w:r>
    </w:p>
    <w:p>
      <w:pPr>
        <w:pStyle w:val="4"/>
        <w:shd w:val="clear" w:color="auto" w:fill="FFFFFF"/>
        <w:spacing w:before="0" w:beforeAutospacing="0" w:after="0" w:afterAutospacing="0" w:line="620" w:lineRule="exact"/>
        <w:ind w:firstLine="482"/>
        <w:rPr>
          <w:rFonts w:ascii="仿宋_GB2312" w:eastAsia="仿宋_GB2312"/>
          <w:color w:val="000000"/>
          <w:sz w:val="32"/>
          <w:szCs w:val="32"/>
        </w:rPr>
      </w:pPr>
    </w:p>
    <w:p>
      <w:pPr>
        <w:pStyle w:val="4"/>
        <w:shd w:val="clear" w:color="auto" w:fill="FFFFFF"/>
        <w:spacing w:before="0" w:beforeAutospacing="0" w:after="0" w:afterAutospacing="0" w:line="620" w:lineRule="exact"/>
        <w:ind w:firstLine="482"/>
        <w:rPr>
          <w:rFonts w:ascii="黑体" w:hAnsi="黑体" w:eastAsia="黑体"/>
          <w:color w:val="000000"/>
          <w:sz w:val="32"/>
          <w:szCs w:val="32"/>
        </w:rPr>
      </w:pPr>
      <w:r>
        <w:rPr>
          <w:rFonts w:hint="eastAsia" w:ascii="黑体" w:hAnsi="黑体" w:eastAsia="黑体"/>
          <w:color w:val="000000"/>
          <w:sz w:val="32"/>
          <w:szCs w:val="32"/>
        </w:rPr>
        <w:t>二、主动公开政府信息情况</w:t>
      </w:r>
    </w:p>
    <w:tbl>
      <w:tblPr>
        <w:tblStyle w:val="5"/>
        <w:tblW w:w="8140" w:type="dxa"/>
        <w:jc w:val="center"/>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3109"/>
        <w:gridCol w:w="1877"/>
        <w:gridCol w:w="1262"/>
        <w:gridCol w:w="1892"/>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8140" w:type="dxa"/>
            <w:gridSpan w:val="4"/>
            <w:tcBorders>
              <w:top w:val="outset" w:color="auto" w:sz="6" w:space="0"/>
              <w:left w:val="outset" w:color="auto" w:sz="6" w:space="0"/>
              <w:bottom w:val="outset" w:color="auto" w:sz="6" w:space="0"/>
              <w:right w:val="outset" w:color="auto" w:sz="6" w:space="0"/>
            </w:tcBorders>
            <w:shd w:val="clear" w:color="auto" w:fill="C6D9F1"/>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第二十条第（一）项</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310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信息内容</w:t>
            </w:r>
          </w:p>
        </w:tc>
        <w:tc>
          <w:tcPr>
            <w:tcW w:w="18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本年新</w:t>
            </w:r>
            <w:r>
              <w:rPr>
                <w:rFonts w:hint="eastAsia" w:ascii="宋体" w:hAnsi="宋体" w:eastAsia="宋体" w:cs="宋体"/>
                <w:color w:val="000000"/>
                <w:kern w:val="0"/>
                <w:sz w:val="20"/>
                <w:szCs w:val="20"/>
              </w:rPr>
              <w:br w:type="textWrapping"/>
            </w:r>
            <w:r>
              <w:rPr>
                <w:rFonts w:hint="eastAsia" w:ascii="宋体" w:hAnsi="宋体" w:eastAsia="宋体" w:cs="宋体"/>
                <w:kern w:val="0"/>
                <w:sz w:val="20"/>
                <w:szCs w:val="20"/>
              </w:rPr>
              <w:t>制作数量</w:t>
            </w:r>
          </w:p>
        </w:tc>
        <w:tc>
          <w:tcPr>
            <w:tcW w:w="12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本年新</w:t>
            </w:r>
            <w:r>
              <w:rPr>
                <w:rFonts w:hint="eastAsia" w:ascii="宋体" w:hAnsi="宋体" w:eastAsia="宋体" w:cs="宋体"/>
                <w:color w:val="000000"/>
                <w:kern w:val="0"/>
                <w:sz w:val="20"/>
                <w:szCs w:val="20"/>
              </w:rPr>
              <w:br w:type="textWrapping"/>
            </w:r>
            <w:r>
              <w:rPr>
                <w:rFonts w:hint="eastAsia" w:ascii="宋体" w:hAnsi="宋体" w:eastAsia="宋体" w:cs="宋体"/>
                <w:kern w:val="0"/>
                <w:sz w:val="20"/>
                <w:szCs w:val="20"/>
              </w:rPr>
              <w:t>公开数量</w:t>
            </w:r>
          </w:p>
        </w:tc>
        <w:tc>
          <w:tcPr>
            <w:tcW w:w="189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对外公开总数量</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310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宋体" w:hAnsi="宋体" w:eastAsia="宋体" w:cs="宋体"/>
                <w:color w:val="000000"/>
                <w:kern w:val="0"/>
                <w:sz w:val="20"/>
                <w:szCs w:val="20"/>
              </w:rPr>
              <w:t>规章</w:t>
            </w:r>
          </w:p>
        </w:tc>
        <w:tc>
          <w:tcPr>
            <w:tcW w:w="18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0</w:t>
            </w:r>
          </w:p>
        </w:tc>
        <w:tc>
          <w:tcPr>
            <w:tcW w:w="12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4"/>
                <w:szCs w:val="24"/>
              </w:rPr>
              <w:t>5</w:t>
            </w:r>
          </w:p>
        </w:tc>
        <w:tc>
          <w:tcPr>
            <w:tcW w:w="189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89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310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宋体" w:hAnsi="宋体" w:eastAsia="宋体" w:cs="宋体"/>
                <w:color w:val="000000"/>
                <w:kern w:val="0"/>
                <w:sz w:val="20"/>
                <w:szCs w:val="20"/>
              </w:rPr>
              <w:t>规范性文件</w:t>
            </w:r>
          </w:p>
        </w:tc>
        <w:tc>
          <w:tcPr>
            <w:tcW w:w="18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3</w:t>
            </w:r>
          </w:p>
        </w:tc>
        <w:tc>
          <w:tcPr>
            <w:tcW w:w="12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4"/>
                <w:szCs w:val="24"/>
              </w:rPr>
              <w:t>3</w:t>
            </w:r>
          </w:p>
        </w:tc>
        <w:tc>
          <w:tcPr>
            <w:tcW w:w="189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35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8140" w:type="dxa"/>
            <w:gridSpan w:val="4"/>
            <w:tcBorders>
              <w:top w:val="outset" w:color="auto" w:sz="6" w:space="0"/>
              <w:left w:val="outset" w:color="auto" w:sz="6" w:space="0"/>
              <w:bottom w:val="outset" w:color="auto" w:sz="6" w:space="0"/>
              <w:right w:val="outset" w:color="auto" w:sz="6" w:space="0"/>
            </w:tcBorders>
            <w:shd w:val="clear" w:color="auto" w:fill="C6D9F1"/>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第二十条第（五）项</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310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信息内容</w:t>
            </w:r>
          </w:p>
        </w:tc>
        <w:tc>
          <w:tcPr>
            <w:tcW w:w="18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上一年项目数量</w:t>
            </w:r>
          </w:p>
        </w:tc>
        <w:tc>
          <w:tcPr>
            <w:tcW w:w="12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本年增/减</w:t>
            </w:r>
          </w:p>
        </w:tc>
        <w:tc>
          <w:tcPr>
            <w:tcW w:w="189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处理决定数量</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310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宋体" w:hAnsi="宋体" w:eastAsia="宋体" w:cs="宋体"/>
                <w:color w:val="000000"/>
                <w:kern w:val="0"/>
                <w:sz w:val="20"/>
                <w:szCs w:val="20"/>
              </w:rPr>
              <w:t>行政许可</w:t>
            </w:r>
          </w:p>
        </w:tc>
        <w:tc>
          <w:tcPr>
            <w:tcW w:w="18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17</w:t>
            </w:r>
          </w:p>
        </w:tc>
        <w:tc>
          <w:tcPr>
            <w:tcW w:w="12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2</w:t>
            </w:r>
          </w:p>
        </w:tc>
        <w:tc>
          <w:tcPr>
            <w:tcW w:w="189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446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310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宋体" w:hAnsi="宋体" w:eastAsia="宋体" w:cs="宋体"/>
                <w:color w:val="000000"/>
                <w:kern w:val="0"/>
                <w:sz w:val="20"/>
                <w:szCs w:val="20"/>
              </w:rPr>
              <w:t>其他对外管理服务事项</w:t>
            </w:r>
          </w:p>
        </w:tc>
        <w:tc>
          <w:tcPr>
            <w:tcW w:w="18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0</w:t>
            </w:r>
          </w:p>
        </w:tc>
        <w:tc>
          <w:tcPr>
            <w:tcW w:w="12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0</w:t>
            </w:r>
          </w:p>
        </w:tc>
        <w:tc>
          <w:tcPr>
            <w:tcW w:w="189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8140" w:type="dxa"/>
            <w:gridSpan w:val="4"/>
            <w:tcBorders>
              <w:top w:val="outset" w:color="auto" w:sz="6" w:space="0"/>
              <w:left w:val="outset" w:color="auto" w:sz="6" w:space="0"/>
              <w:bottom w:val="outset" w:color="auto" w:sz="6" w:space="0"/>
              <w:right w:val="outset" w:color="auto" w:sz="6" w:space="0"/>
            </w:tcBorders>
            <w:shd w:val="clear" w:color="auto" w:fill="C6D9F1"/>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第二十条第（六）项</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310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信息内容</w:t>
            </w:r>
          </w:p>
        </w:tc>
        <w:tc>
          <w:tcPr>
            <w:tcW w:w="18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上一年项目数量</w:t>
            </w:r>
          </w:p>
        </w:tc>
        <w:tc>
          <w:tcPr>
            <w:tcW w:w="12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本年增/减</w:t>
            </w:r>
          </w:p>
        </w:tc>
        <w:tc>
          <w:tcPr>
            <w:tcW w:w="189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处理决定数量</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310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宋体" w:hAnsi="宋体" w:eastAsia="宋体" w:cs="宋体"/>
                <w:color w:val="000000"/>
                <w:kern w:val="0"/>
                <w:sz w:val="20"/>
                <w:szCs w:val="20"/>
              </w:rPr>
              <w:t>行政处罚</w:t>
            </w:r>
          </w:p>
        </w:tc>
        <w:tc>
          <w:tcPr>
            <w:tcW w:w="18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0</w:t>
            </w:r>
          </w:p>
        </w:tc>
        <w:tc>
          <w:tcPr>
            <w:tcW w:w="12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0</w:t>
            </w:r>
          </w:p>
        </w:tc>
        <w:tc>
          <w:tcPr>
            <w:tcW w:w="189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310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宋体" w:hAnsi="宋体" w:eastAsia="宋体" w:cs="宋体"/>
                <w:color w:val="000000"/>
                <w:kern w:val="0"/>
                <w:sz w:val="20"/>
                <w:szCs w:val="20"/>
              </w:rPr>
              <w:t>行政强制</w:t>
            </w:r>
          </w:p>
        </w:tc>
        <w:tc>
          <w:tcPr>
            <w:tcW w:w="18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0</w:t>
            </w:r>
          </w:p>
        </w:tc>
        <w:tc>
          <w:tcPr>
            <w:tcW w:w="12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0</w:t>
            </w:r>
          </w:p>
        </w:tc>
        <w:tc>
          <w:tcPr>
            <w:tcW w:w="189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8140" w:type="dxa"/>
            <w:gridSpan w:val="4"/>
            <w:tcBorders>
              <w:top w:val="outset" w:color="auto" w:sz="6" w:space="0"/>
              <w:left w:val="outset" w:color="auto" w:sz="6" w:space="0"/>
              <w:bottom w:val="outset" w:color="auto" w:sz="6" w:space="0"/>
              <w:right w:val="outset" w:color="auto" w:sz="6" w:space="0"/>
            </w:tcBorders>
            <w:shd w:val="clear" w:color="auto" w:fill="C6D9F1"/>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第二十条第（八）项</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310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信息内容</w:t>
            </w:r>
          </w:p>
        </w:tc>
        <w:tc>
          <w:tcPr>
            <w:tcW w:w="18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宋体" w:hAnsi="宋体" w:eastAsia="宋体" w:cs="宋体"/>
                <w:color w:val="000000"/>
                <w:kern w:val="0"/>
                <w:sz w:val="20"/>
                <w:szCs w:val="20"/>
              </w:rPr>
              <w:t>上一年项目数量</w:t>
            </w:r>
          </w:p>
        </w:tc>
        <w:tc>
          <w:tcPr>
            <w:tcW w:w="3154" w:type="dxa"/>
            <w:gridSpan w:val="2"/>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本年增/减</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310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宋体" w:hAnsi="宋体" w:eastAsia="宋体" w:cs="宋体"/>
                <w:color w:val="000000"/>
                <w:kern w:val="0"/>
                <w:sz w:val="20"/>
                <w:szCs w:val="20"/>
              </w:rPr>
              <w:t>行政事业性收费</w:t>
            </w:r>
          </w:p>
        </w:tc>
        <w:tc>
          <w:tcPr>
            <w:tcW w:w="18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2</w:t>
            </w:r>
          </w:p>
        </w:tc>
        <w:tc>
          <w:tcPr>
            <w:tcW w:w="3154" w:type="dxa"/>
            <w:gridSpan w:val="2"/>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4"/>
                <w:szCs w:val="24"/>
              </w:rPr>
              <w:t>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8140" w:type="dxa"/>
            <w:gridSpan w:val="4"/>
            <w:tcBorders>
              <w:top w:val="outset" w:color="auto" w:sz="6" w:space="0"/>
              <w:left w:val="outset" w:color="auto" w:sz="6" w:space="0"/>
              <w:bottom w:val="outset" w:color="auto" w:sz="6" w:space="0"/>
              <w:right w:val="outset" w:color="auto" w:sz="6" w:space="0"/>
            </w:tcBorders>
            <w:shd w:val="clear" w:color="auto" w:fill="C6D9F1"/>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第二十条第（九）项</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310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信息内容</w:t>
            </w:r>
          </w:p>
        </w:tc>
        <w:tc>
          <w:tcPr>
            <w:tcW w:w="18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采购项目数量</w:t>
            </w:r>
          </w:p>
        </w:tc>
        <w:tc>
          <w:tcPr>
            <w:tcW w:w="3154" w:type="dxa"/>
            <w:gridSpan w:val="2"/>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采购总金额</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310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宋体" w:hAnsi="宋体" w:eastAsia="宋体" w:cs="宋体"/>
                <w:color w:val="000000"/>
                <w:kern w:val="0"/>
                <w:sz w:val="20"/>
                <w:szCs w:val="20"/>
              </w:rPr>
              <w:t>政府集中采购</w:t>
            </w:r>
          </w:p>
        </w:tc>
        <w:tc>
          <w:tcPr>
            <w:tcW w:w="18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2</w:t>
            </w:r>
          </w:p>
        </w:tc>
        <w:tc>
          <w:tcPr>
            <w:tcW w:w="3154" w:type="dxa"/>
            <w:gridSpan w:val="2"/>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4"/>
                <w:szCs w:val="24"/>
              </w:rPr>
              <w:t>593万元</w:t>
            </w:r>
          </w:p>
        </w:tc>
      </w:tr>
    </w:tbl>
    <w:p>
      <w:pPr>
        <w:pStyle w:val="4"/>
        <w:shd w:val="clear" w:color="auto" w:fill="FFFFFF"/>
        <w:spacing w:before="0" w:beforeAutospacing="0" w:after="0" w:afterAutospacing="0" w:line="620" w:lineRule="exact"/>
        <w:ind w:firstLine="482"/>
        <w:rPr>
          <w:rFonts w:ascii="黑体" w:hAnsi="黑体" w:eastAsia="黑体"/>
          <w:color w:val="000000"/>
          <w:sz w:val="32"/>
          <w:szCs w:val="32"/>
        </w:rPr>
      </w:pPr>
      <w:r>
        <w:rPr>
          <w:rFonts w:hint="eastAsia" w:ascii="黑体" w:hAnsi="黑体" w:eastAsia="黑体"/>
          <w:color w:val="000000"/>
          <w:sz w:val="32"/>
          <w:szCs w:val="32"/>
        </w:rPr>
        <w:t>三、收到和处理政府信息公开申请情况</w:t>
      </w:r>
    </w:p>
    <w:p>
      <w:pPr>
        <w:widowControl/>
        <w:shd w:val="clear" w:color="auto" w:fill="FFFFFF"/>
        <w:ind w:firstLine="480"/>
        <w:jc w:val="center"/>
        <w:rPr>
          <w:rFonts w:ascii="宋体" w:hAnsi="宋体" w:eastAsia="宋体" w:cs="宋体"/>
          <w:color w:val="333333"/>
          <w:kern w:val="0"/>
          <w:sz w:val="27"/>
          <w:szCs w:val="27"/>
        </w:rPr>
      </w:pPr>
    </w:p>
    <w:tbl>
      <w:tblPr>
        <w:tblStyle w:val="5"/>
        <w:tblW w:w="9071" w:type="dxa"/>
        <w:jc w:val="center"/>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481"/>
        <w:gridCol w:w="857"/>
        <w:gridCol w:w="2136"/>
        <w:gridCol w:w="827"/>
        <w:gridCol w:w="767"/>
        <w:gridCol w:w="767"/>
        <w:gridCol w:w="827"/>
        <w:gridCol w:w="993"/>
        <w:gridCol w:w="723"/>
        <w:gridCol w:w="693"/>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3465" w:type="dxa"/>
            <w:gridSpan w:val="3"/>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（本列数据的勾稽关系为：第一项加第二项之和，等于第三项加第四项之和）</w:t>
            </w:r>
          </w:p>
        </w:tc>
        <w:tc>
          <w:tcPr>
            <w:tcW w:w="5580" w:type="dxa"/>
            <w:gridSpan w:val="7"/>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申请人情况</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0" w:type="auto"/>
            <w:gridSpan w:val="3"/>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825" w:type="dxa"/>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自然人</w:t>
            </w:r>
          </w:p>
        </w:tc>
        <w:tc>
          <w:tcPr>
            <w:tcW w:w="4065" w:type="dxa"/>
            <w:gridSpan w:val="5"/>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法人或其他组织</w:t>
            </w:r>
          </w:p>
        </w:tc>
        <w:tc>
          <w:tcPr>
            <w:tcW w:w="690" w:type="dxa"/>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总计</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0" w:type="auto"/>
            <w:gridSpan w:val="3"/>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商业企业</w:t>
            </w: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科研机构</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社会公益组织</w:t>
            </w: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法律服务机构</w:t>
            </w: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其他</w:t>
            </w:r>
          </w:p>
        </w:tc>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3465" w:type="dxa"/>
            <w:gridSpan w:val="3"/>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宋体" w:hAnsi="宋体" w:eastAsia="宋体" w:cs="宋体"/>
                <w:kern w:val="0"/>
                <w:sz w:val="20"/>
                <w:szCs w:val="20"/>
              </w:rPr>
              <w:t>一、本年新收政府信息公开申请数量</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4"/>
                <w:szCs w:val="24"/>
              </w:rPr>
              <w:t>9</w:t>
            </w: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4"/>
                <w:szCs w:val="24"/>
              </w:rPr>
              <w:t>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3465" w:type="dxa"/>
            <w:gridSpan w:val="3"/>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宋体" w:hAnsi="宋体" w:eastAsia="宋体" w:cs="宋体"/>
                <w:kern w:val="0"/>
                <w:sz w:val="20"/>
                <w:szCs w:val="20"/>
              </w:rPr>
              <w:t>二、上年结转政府信息公开申请数量</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480" w:type="dxa"/>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三、本年度办理结果</w:t>
            </w:r>
          </w:p>
        </w:tc>
        <w:tc>
          <w:tcPr>
            <w:tcW w:w="2985" w:type="dxa"/>
            <w:gridSpan w:val="2"/>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（一）予以公开</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4"/>
                <w:szCs w:val="24"/>
              </w:rPr>
              <w:t>4</w:t>
            </w: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4"/>
                <w:szCs w:val="24"/>
              </w:rPr>
              <w:t>4</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2985" w:type="dxa"/>
            <w:gridSpan w:val="2"/>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（二）部分公开（区分处理的，只计这一情形，不计其他情形）</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855" w:type="dxa"/>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（三）不予公开</w:t>
            </w:r>
          </w:p>
        </w:tc>
        <w:tc>
          <w:tcPr>
            <w:tcW w:w="213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1.属于国家秘密</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213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2.其他法律行政法规禁止公开</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213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3.危及“三安全一稳定”</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213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4.保护第三方合法权益</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213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5.属于三类内部事务信息</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213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6.属于四类过程性信息</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213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7.属于行政执法案卷</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213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8.属于行政查询事项</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855" w:type="dxa"/>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（四）无法提供</w:t>
            </w:r>
          </w:p>
        </w:tc>
        <w:tc>
          <w:tcPr>
            <w:tcW w:w="213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1.本机关不掌握相关政府信息</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eastAsia="宋体" w:cs="宋体"/>
              </w:rPr>
            </w:pPr>
            <w:r>
              <w:rPr>
                <w:rFonts w:hint="eastAsia" w:eastAsia="宋体" w:cs="宋体"/>
              </w:rPr>
              <w:t>5</w:t>
            </w: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eastAsia="宋体" w:cs="宋体"/>
              </w:rPr>
            </w:pPr>
            <w:r>
              <w:rPr>
                <w:rFonts w:hint="eastAsia" w:eastAsia="宋体" w:cs="宋体"/>
              </w:rPr>
              <w:t>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213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2.没有现成信息需要另行制作</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213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3.补正后申请内容仍不明确</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855" w:type="dxa"/>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（五）不予处理</w:t>
            </w:r>
          </w:p>
        </w:tc>
        <w:tc>
          <w:tcPr>
            <w:tcW w:w="213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1.信访举报投诉类申请</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213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2.重复申请</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213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3.要求提供公开出版物</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213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4.无正当理由大量反复申请</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213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5.要求行政机关确认或重新出具已获取信息</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2985" w:type="dxa"/>
            <w:gridSpan w:val="2"/>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（六）其他处理</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2985" w:type="dxa"/>
            <w:gridSpan w:val="2"/>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楷体" w:hAnsi="楷体" w:eastAsia="楷体" w:cs="宋体"/>
                <w:kern w:val="0"/>
                <w:sz w:val="20"/>
                <w:szCs w:val="20"/>
              </w:rPr>
              <w:t>（七）总计</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4"/>
                <w:szCs w:val="24"/>
              </w:rPr>
              <w:t>9</w:t>
            </w: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4"/>
                <w:szCs w:val="24"/>
              </w:rPr>
              <w:t>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jc w:val="center"/>
        </w:trPr>
        <w:tc>
          <w:tcPr>
            <w:tcW w:w="3465" w:type="dxa"/>
            <w:gridSpan w:val="3"/>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ascii="宋体" w:hAnsi="宋体" w:eastAsia="宋体" w:cs="宋体"/>
                <w:kern w:val="0"/>
                <w:sz w:val="24"/>
                <w:szCs w:val="24"/>
              </w:rPr>
            </w:pPr>
            <w:r>
              <w:rPr>
                <w:rFonts w:hint="eastAsia" w:ascii="宋体" w:hAnsi="宋体" w:eastAsia="宋体" w:cs="宋体"/>
                <w:kern w:val="0"/>
                <w:sz w:val="20"/>
                <w:szCs w:val="20"/>
              </w:rPr>
              <w:t>四、结转下年度继续办理</w:t>
            </w: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8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9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72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c>
          <w:tcPr>
            <w:tcW w:w="69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left"/>
              <w:rPr>
                <w:rFonts w:eastAsia="宋体" w:cs="宋体"/>
              </w:rPr>
            </w:pPr>
          </w:p>
        </w:tc>
      </w:tr>
    </w:tbl>
    <w:p>
      <w:pPr>
        <w:widowControl/>
        <w:shd w:val="clear" w:color="auto" w:fill="FFFFFF"/>
        <w:jc w:val="left"/>
        <w:rPr>
          <w:rFonts w:ascii="Helvetica" w:hAnsi="Helvetica" w:eastAsia="宋体"/>
          <w:color w:val="333333"/>
          <w:kern w:val="0"/>
          <w:sz w:val="27"/>
          <w:szCs w:val="27"/>
        </w:rPr>
      </w:pPr>
    </w:p>
    <w:p>
      <w:pPr>
        <w:pStyle w:val="4"/>
        <w:shd w:val="clear" w:color="auto" w:fill="FFFFFF"/>
        <w:spacing w:before="0" w:beforeAutospacing="0" w:after="0" w:afterAutospacing="0" w:line="620" w:lineRule="exact"/>
        <w:ind w:firstLine="482"/>
        <w:rPr>
          <w:rFonts w:ascii="黑体" w:hAnsi="黑体" w:eastAsia="黑体"/>
          <w:color w:val="000000"/>
          <w:sz w:val="32"/>
          <w:szCs w:val="32"/>
        </w:rPr>
      </w:pPr>
      <w:r>
        <w:rPr>
          <w:rFonts w:hint="eastAsia" w:ascii="黑体" w:hAnsi="黑体" w:eastAsia="黑体"/>
          <w:color w:val="000000"/>
          <w:sz w:val="32"/>
          <w:szCs w:val="32"/>
        </w:rPr>
        <w:t>四、政府信息公开行政复议、行政诉讼情况</w:t>
      </w:r>
    </w:p>
    <w:p>
      <w:pPr>
        <w:pStyle w:val="4"/>
        <w:shd w:val="clear" w:color="auto" w:fill="FFFFFF"/>
        <w:spacing w:before="0" w:beforeAutospacing="0" w:after="0" w:afterAutospacing="0" w:line="620" w:lineRule="exact"/>
        <w:ind w:firstLine="482"/>
        <w:rPr>
          <w:rFonts w:ascii="黑体" w:hAnsi="黑体" w:eastAsia="黑体"/>
          <w:color w:val="000000"/>
          <w:sz w:val="32"/>
          <w:szCs w:val="32"/>
        </w:rPr>
      </w:pPr>
    </w:p>
    <w:tbl>
      <w:tblPr>
        <w:tblStyle w:val="5"/>
        <w:tblW w:w="9462" w:type="dxa"/>
        <w:jc w:val="center"/>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627"/>
        <w:gridCol w:w="627"/>
        <w:gridCol w:w="627"/>
        <w:gridCol w:w="627"/>
        <w:gridCol w:w="690"/>
        <w:gridCol w:w="565"/>
        <w:gridCol w:w="628"/>
        <w:gridCol w:w="628"/>
        <w:gridCol w:w="628"/>
        <w:gridCol w:w="659"/>
        <w:gridCol w:w="628"/>
        <w:gridCol w:w="628"/>
        <w:gridCol w:w="628"/>
        <w:gridCol w:w="628"/>
        <w:gridCol w:w="644"/>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76" w:hRule="atLeast"/>
          <w:jc w:val="center"/>
        </w:trPr>
        <w:tc>
          <w:tcPr>
            <w:tcW w:w="3198" w:type="dxa"/>
            <w:gridSpan w:val="5"/>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行政复议</w:t>
            </w:r>
          </w:p>
        </w:tc>
        <w:tc>
          <w:tcPr>
            <w:tcW w:w="6264" w:type="dxa"/>
            <w:gridSpan w:val="10"/>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行政诉讼</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99" w:hRule="atLeast"/>
          <w:jc w:val="center"/>
        </w:trPr>
        <w:tc>
          <w:tcPr>
            <w:tcW w:w="627" w:type="dxa"/>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结果维持</w:t>
            </w:r>
          </w:p>
        </w:tc>
        <w:tc>
          <w:tcPr>
            <w:tcW w:w="627" w:type="dxa"/>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结果纠正</w:t>
            </w:r>
          </w:p>
        </w:tc>
        <w:tc>
          <w:tcPr>
            <w:tcW w:w="627" w:type="dxa"/>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其他结果</w:t>
            </w:r>
          </w:p>
        </w:tc>
        <w:tc>
          <w:tcPr>
            <w:tcW w:w="627" w:type="dxa"/>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尚未审结</w:t>
            </w:r>
          </w:p>
        </w:tc>
        <w:tc>
          <w:tcPr>
            <w:tcW w:w="690" w:type="dxa"/>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总计</w:t>
            </w:r>
          </w:p>
        </w:tc>
        <w:tc>
          <w:tcPr>
            <w:tcW w:w="3108" w:type="dxa"/>
            <w:gridSpan w:val="5"/>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未经复议直接起诉</w:t>
            </w:r>
          </w:p>
        </w:tc>
        <w:tc>
          <w:tcPr>
            <w:tcW w:w="3156" w:type="dxa"/>
            <w:gridSpan w:val="5"/>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复议后起诉</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563" w:hRule="atLeast"/>
          <w:jc w:val="center"/>
        </w:trPr>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0" w:type="auto"/>
            <w:vMerge w:val="continue"/>
            <w:tcBorders>
              <w:top w:val="outset" w:color="auto" w:sz="6" w:space="0"/>
              <w:left w:val="outset" w:color="auto" w:sz="6" w:space="0"/>
              <w:bottom w:val="outset" w:color="auto" w:sz="6" w:space="0"/>
              <w:right w:val="outset" w:color="auto" w:sz="6" w:space="0"/>
            </w:tcBorders>
            <w:vAlign w:val="center"/>
          </w:tcPr>
          <w:p>
            <w:pPr>
              <w:widowControl/>
              <w:jc w:val="left"/>
              <w:rPr>
                <w:rFonts w:ascii="宋体" w:hAnsi="宋体" w:eastAsia="宋体" w:cs="宋体"/>
                <w:kern w:val="0"/>
                <w:sz w:val="24"/>
                <w:szCs w:val="24"/>
              </w:rPr>
            </w:pPr>
          </w:p>
        </w:tc>
        <w:tc>
          <w:tcPr>
            <w:tcW w:w="5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结果维持</w:t>
            </w:r>
          </w:p>
        </w:tc>
        <w:tc>
          <w:tcPr>
            <w:tcW w:w="62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结果纠正</w:t>
            </w:r>
          </w:p>
        </w:tc>
        <w:tc>
          <w:tcPr>
            <w:tcW w:w="62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其他结果</w:t>
            </w:r>
          </w:p>
        </w:tc>
        <w:tc>
          <w:tcPr>
            <w:tcW w:w="62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尚未审结</w:t>
            </w:r>
          </w:p>
        </w:tc>
        <w:tc>
          <w:tcPr>
            <w:tcW w:w="65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总计</w:t>
            </w:r>
          </w:p>
        </w:tc>
        <w:tc>
          <w:tcPr>
            <w:tcW w:w="62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结果维持</w:t>
            </w:r>
          </w:p>
        </w:tc>
        <w:tc>
          <w:tcPr>
            <w:tcW w:w="62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结果纠正</w:t>
            </w:r>
          </w:p>
        </w:tc>
        <w:tc>
          <w:tcPr>
            <w:tcW w:w="62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其他结果</w:t>
            </w:r>
          </w:p>
        </w:tc>
        <w:tc>
          <w:tcPr>
            <w:tcW w:w="62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0"/>
                <w:szCs w:val="20"/>
              </w:rPr>
              <w:t>尚未审结</w:t>
            </w:r>
          </w:p>
        </w:tc>
        <w:tc>
          <w:tcPr>
            <w:tcW w:w="6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000000"/>
                <w:kern w:val="0"/>
                <w:sz w:val="20"/>
                <w:szCs w:val="20"/>
              </w:rPr>
              <w:t>总计</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563" w:hRule="atLeast"/>
          <w:jc w:val="center"/>
        </w:trPr>
        <w:tc>
          <w:tcPr>
            <w:tcW w:w="0" w:type="auto"/>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4"/>
                <w:szCs w:val="24"/>
              </w:rPr>
              <w:t>0</w:t>
            </w:r>
          </w:p>
        </w:tc>
        <w:tc>
          <w:tcPr>
            <w:tcW w:w="0" w:type="auto"/>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4"/>
                <w:szCs w:val="24"/>
              </w:rPr>
              <w:t>0</w:t>
            </w:r>
          </w:p>
        </w:tc>
        <w:tc>
          <w:tcPr>
            <w:tcW w:w="0" w:type="auto"/>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4"/>
                <w:szCs w:val="24"/>
              </w:rPr>
              <w:t>0</w:t>
            </w:r>
          </w:p>
        </w:tc>
        <w:tc>
          <w:tcPr>
            <w:tcW w:w="0" w:type="auto"/>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4"/>
                <w:szCs w:val="24"/>
              </w:rPr>
              <w:t>0</w:t>
            </w:r>
          </w:p>
        </w:tc>
        <w:tc>
          <w:tcPr>
            <w:tcW w:w="0" w:type="auto"/>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4"/>
                <w:szCs w:val="24"/>
              </w:rPr>
            </w:pPr>
            <w:r>
              <w:rPr>
                <w:rFonts w:hint="eastAsia" w:ascii="宋体" w:hAnsi="宋体" w:eastAsia="宋体" w:cs="宋体"/>
                <w:kern w:val="0"/>
                <w:sz w:val="24"/>
                <w:szCs w:val="24"/>
              </w:rPr>
              <w:t>0</w:t>
            </w:r>
          </w:p>
        </w:tc>
        <w:tc>
          <w:tcPr>
            <w:tcW w:w="56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0</w:t>
            </w:r>
          </w:p>
        </w:tc>
        <w:tc>
          <w:tcPr>
            <w:tcW w:w="62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0</w:t>
            </w:r>
          </w:p>
        </w:tc>
        <w:tc>
          <w:tcPr>
            <w:tcW w:w="62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0</w:t>
            </w:r>
          </w:p>
        </w:tc>
        <w:tc>
          <w:tcPr>
            <w:tcW w:w="62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0</w:t>
            </w:r>
          </w:p>
        </w:tc>
        <w:tc>
          <w:tcPr>
            <w:tcW w:w="65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0</w:t>
            </w:r>
          </w:p>
        </w:tc>
        <w:tc>
          <w:tcPr>
            <w:tcW w:w="62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0</w:t>
            </w:r>
          </w:p>
        </w:tc>
        <w:tc>
          <w:tcPr>
            <w:tcW w:w="62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0</w:t>
            </w:r>
          </w:p>
        </w:tc>
        <w:tc>
          <w:tcPr>
            <w:tcW w:w="62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0</w:t>
            </w:r>
          </w:p>
        </w:tc>
        <w:tc>
          <w:tcPr>
            <w:tcW w:w="62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0</w:t>
            </w:r>
          </w:p>
        </w:tc>
        <w:tc>
          <w:tcPr>
            <w:tcW w:w="6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0</w:t>
            </w:r>
          </w:p>
        </w:tc>
      </w:tr>
    </w:tbl>
    <w:p>
      <w:pPr>
        <w:pStyle w:val="4"/>
        <w:shd w:val="clear" w:color="auto" w:fill="FFFFFF"/>
        <w:spacing w:before="0" w:beforeAutospacing="0" w:after="0" w:afterAutospacing="0" w:line="620" w:lineRule="exact"/>
        <w:rPr>
          <w:rFonts w:ascii="黑体" w:hAnsi="黑体" w:eastAsia="黑体"/>
          <w:color w:val="000000"/>
          <w:sz w:val="32"/>
          <w:szCs w:val="32"/>
        </w:rPr>
      </w:pPr>
    </w:p>
    <w:p>
      <w:pPr>
        <w:pStyle w:val="4"/>
        <w:shd w:val="clear" w:color="auto" w:fill="FFFFFF"/>
        <w:spacing w:before="0" w:beforeAutospacing="0" w:after="0" w:afterAutospacing="0" w:line="620" w:lineRule="exact"/>
        <w:ind w:firstLine="482"/>
        <w:rPr>
          <w:rFonts w:ascii="仿宋_GB2312" w:eastAsia="仿宋_GB2312"/>
          <w:spacing w:val="-12"/>
          <w:sz w:val="32"/>
          <w:szCs w:val="32"/>
        </w:rPr>
      </w:pPr>
      <w:r>
        <w:rPr>
          <w:rFonts w:hint="eastAsia" w:ascii="黑体" w:hAnsi="黑体" w:eastAsia="黑体"/>
          <w:color w:val="000000"/>
          <w:sz w:val="32"/>
          <w:szCs w:val="32"/>
        </w:rPr>
        <w:t>五、存在的主要问题及改进情况。</w:t>
      </w:r>
      <w:r>
        <w:rPr>
          <w:rFonts w:hint="eastAsia" w:ascii="仿宋_GB2312" w:eastAsia="仿宋_GB2312"/>
          <w:spacing w:val="-12"/>
          <w:sz w:val="32"/>
          <w:szCs w:val="32"/>
        </w:rPr>
        <w:t>信息公开渠道有待进一步拓展，政策解读深度有待进一步加强。对此，下一步，我局将认真贯彻新修订的《政府信息公开条例》，聚焦推进我省广电行业高质量发展，通过发布会、在线访谈、新闻宣传等多种方式，解读宣讲政策，传递权威信息，进一步提高政务发布解读回应工作质量。</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Helvetica">
    <w:altName w:val="Arial"/>
    <w:panose1 w:val="020B0604020202020204"/>
    <w:charset w:val="00"/>
    <w:family w:val="swiss"/>
    <w:pitch w:val="default"/>
    <w:sig w:usb0="00000000" w:usb1="00000000" w:usb2="00000009" w:usb3="00000000" w:csb0="000001FF" w:csb1="00000000"/>
  </w:font>
  <w:font w:name="Arial">
    <w:panose1 w:val="020B0604020202020204"/>
    <w:charset w:val="00"/>
    <w:family w:val="auto"/>
    <w:pitch w:val="default"/>
    <w:sig w:usb0="E0002EFF" w:usb1="C000785B"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5040"/>
    <w:rsid w:val="00031DD7"/>
    <w:rsid w:val="000417C2"/>
    <w:rsid w:val="00061BC2"/>
    <w:rsid w:val="000A4CF7"/>
    <w:rsid w:val="000B597C"/>
    <w:rsid w:val="001109EE"/>
    <w:rsid w:val="001319C6"/>
    <w:rsid w:val="001472E2"/>
    <w:rsid w:val="001476CB"/>
    <w:rsid w:val="00154E2E"/>
    <w:rsid w:val="00156008"/>
    <w:rsid w:val="001A0469"/>
    <w:rsid w:val="001A264F"/>
    <w:rsid w:val="001C1740"/>
    <w:rsid w:val="00230216"/>
    <w:rsid w:val="002A0FF8"/>
    <w:rsid w:val="002C07AE"/>
    <w:rsid w:val="002C1EDA"/>
    <w:rsid w:val="002D3CF7"/>
    <w:rsid w:val="00332FF5"/>
    <w:rsid w:val="00335683"/>
    <w:rsid w:val="003E2423"/>
    <w:rsid w:val="004060E7"/>
    <w:rsid w:val="0041615A"/>
    <w:rsid w:val="004178F4"/>
    <w:rsid w:val="004269FA"/>
    <w:rsid w:val="004C0CF7"/>
    <w:rsid w:val="005B274B"/>
    <w:rsid w:val="005C3F59"/>
    <w:rsid w:val="00641C54"/>
    <w:rsid w:val="00645BCF"/>
    <w:rsid w:val="006C145E"/>
    <w:rsid w:val="006E50BA"/>
    <w:rsid w:val="007168FD"/>
    <w:rsid w:val="00717F92"/>
    <w:rsid w:val="00735393"/>
    <w:rsid w:val="00741EF9"/>
    <w:rsid w:val="00787518"/>
    <w:rsid w:val="007A79CD"/>
    <w:rsid w:val="007B68A1"/>
    <w:rsid w:val="007F396B"/>
    <w:rsid w:val="00836B05"/>
    <w:rsid w:val="008442E0"/>
    <w:rsid w:val="0084770E"/>
    <w:rsid w:val="008F181C"/>
    <w:rsid w:val="008F7090"/>
    <w:rsid w:val="00917D54"/>
    <w:rsid w:val="00931DD7"/>
    <w:rsid w:val="0095496F"/>
    <w:rsid w:val="009662D0"/>
    <w:rsid w:val="00967D35"/>
    <w:rsid w:val="00991632"/>
    <w:rsid w:val="009A3123"/>
    <w:rsid w:val="00A0058A"/>
    <w:rsid w:val="00A077E0"/>
    <w:rsid w:val="00A60712"/>
    <w:rsid w:val="00A6591D"/>
    <w:rsid w:val="00AA425C"/>
    <w:rsid w:val="00AD39FB"/>
    <w:rsid w:val="00B07A85"/>
    <w:rsid w:val="00B75B37"/>
    <w:rsid w:val="00BC4BB0"/>
    <w:rsid w:val="00BE31DA"/>
    <w:rsid w:val="00C05A39"/>
    <w:rsid w:val="00C10880"/>
    <w:rsid w:val="00C53E9C"/>
    <w:rsid w:val="00C75574"/>
    <w:rsid w:val="00CB6DC9"/>
    <w:rsid w:val="00CF2C19"/>
    <w:rsid w:val="00D27E64"/>
    <w:rsid w:val="00D76A10"/>
    <w:rsid w:val="00DE76DC"/>
    <w:rsid w:val="00DF783E"/>
    <w:rsid w:val="00E057E4"/>
    <w:rsid w:val="00E4105C"/>
    <w:rsid w:val="00E542EC"/>
    <w:rsid w:val="00E647C3"/>
    <w:rsid w:val="00E6791F"/>
    <w:rsid w:val="00EA30B2"/>
    <w:rsid w:val="00EB1FFC"/>
    <w:rsid w:val="00EB5040"/>
    <w:rsid w:val="00F073B1"/>
    <w:rsid w:val="00F23E69"/>
    <w:rsid w:val="00F370FA"/>
    <w:rsid w:val="00F77208"/>
    <w:rsid w:val="00FA7810"/>
    <w:rsid w:val="00FD6EFE"/>
    <w:rsid w:val="00FF4FF4"/>
    <w:rsid w:val="00FF5BB9"/>
    <w:rsid w:val="4A7450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footer"/>
    <w:basedOn w:val="1"/>
    <w:link w:val="9"/>
    <w:unhideWhenUsed/>
    <w:uiPriority w:val="99"/>
    <w:pPr>
      <w:tabs>
        <w:tab w:val="center" w:pos="4153"/>
        <w:tab w:val="right" w:pos="8306"/>
      </w:tabs>
      <w:snapToGrid w:val="0"/>
      <w:jc w:val="left"/>
    </w:pPr>
    <w:rPr>
      <w:sz w:val="18"/>
      <w:szCs w:val="18"/>
    </w:rPr>
  </w:style>
  <w:style w:type="paragraph" w:styleId="3">
    <w:name w:val="header"/>
    <w:basedOn w:val="1"/>
    <w:link w:val="8"/>
    <w:unhideWhenUsed/>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Hyperlink"/>
    <w:basedOn w:val="6"/>
    <w:semiHidden/>
    <w:unhideWhenUsed/>
    <w:uiPriority w:val="99"/>
    <w:rPr>
      <w:color w:val="0000FF"/>
      <w:u w:val="single"/>
    </w:rPr>
  </w:style>
  <w:style w:type="character" w:customStyle="1" w:styleId="8">
    <w:name w:val="页眉 Char"/>
    <w:basedOn w:val="6"/>
    <w:link w:val="3"/>
    <w:uiPriority w:val="99"/>
    <w:rPr>
      <w:sz w:val="18"/>
      <w:szCs w:val="18"/>
    </w:rPr>
  </w:style>
  <w:style w:type="character" w:customStyle="1" w:styleId="9">
    <w:name w:val="页脚 Char"/>
    <w:basedOn w:val="6"/>
    <w:link w:val="2"/>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5</Pages>
  <Words>371</Words>
  <Characters>2119</Characters>
  <Lines>17</Lines>
  <Paragraphs>4</Paragraphs>
  <TotalTime>484</TotalTime>
  <ScaleCrop>false</ScaleCrop>
  <LinksUpToDate>false</LinksUpToDate>
  <CharactersWithSpaces>2486</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2021-01-05T02:49:00Z</dcterms:created>
  <dc:creator>hp</dc:creator>
  <cp:lastModifiedBy>仇乐</cp:lastModifiedBy>
  <cp:lastPrinted>2020-01-21T06:09:00Z</cp:lastPrinted>
  <dcterms:modified xsi:type="dcterms:W3CDTF">2021-01-11T01:40:55Z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