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方正仿宋_GBK" w:hAnsi="黑体" w:eastAsia="方正仿宋_GBK" w:cs="宋体"/>
          <w:sz w:val="32"/>
          <w:szCs w:val="32"/>
        </w:rPr>
      </w:pPr>
      <w:r>
        <w:rPr>
          <w:rFonts w:hint="eastAsia" w:ascii="方正黑体_GBK" w:hAnsi="黑体" w:eastAsia="方正黑体_GBK" w:cs="方正小标宋_GBK"/>
          <w:sz w:val="32"/>
          <w:szCs w:val="32"/>
        </w:rPr>
        <w:t>附件</w:t>
      </w:r>
      <w:r>
        <w:rPr>
          <w:rFonts w:ascii="Times New Roman" w:hAnsi="Times New Roman" w:eastAsia="方正黑体_GBK" w:cs="Times New Roman"/>
          <w:sz w:val="32"/>
          <w:szCs w:val="32"/>
        </w:rPr>
        <w:t>1</w:t>
      </w:r>
    </w:p>
    <w:p>
      <w:pPr>
        <w:adjustRightInd w:val="0"/>
        <w:snapToGrid w:val="0"/>
        <w:spacing w:line="640" w:lineRule="exact"/>
        <w:jc w:val="center"/>
        <w:rPr>
          <w:rFonts w:ascii="Times New Roman" w:hAnsi="Times New Roman" w:eastAsia="方正小标宋_GBK" w:cs="Times New Roman"/>
          <w:sz w:val="40"/>
          <w:szCs w:val="44"/>
        </w:rPr>
      </w:pPr>
    </w:p>
    <w:p>
      <w:pPr>
        <w:adjustRightInd w:val="0"/>
        <w:snapToGrid w:val="0"/>
        <w:spacing w:line="640" w:lineRule="exact"/>
        <w:jc w:val="center"/>
        <w:rPr>
          <w:rFonts w:ascii="方正小标宋_GBK" w:hAnsi="Times New Roman" w:eastAsia="方正小标宋_GBK" w:cs="Times New Roman"/>
          <w:sz w:val="44"/>
          <w:szCs w:val="44"/>
        </w:rPr>
      </w:pPr>
      <w:bookmarkStart w:id="0" w:name="_GoBack"/>
      <w:r>
        <w:rPr>
          <w:rFonts w:ascii="Times New Roman" w:hAnsi="Times New Roman" w:eastAsia="方正小标宋_GBK" w:cs="Times New Roman"/>
          <w:sz w:val="44"/>
          <w:szCs w:val="44"/>
        </w:rPr>
        <w:t>2020</w:t>
      </w:r>
      <w:r>
        <w:rPr>
          <w:rFonts w:hint="eastAsia" w:ascii="方正小标宋_GBK" w:hAnsi="Times New Roman" w:eastAsia="方正小标宋_GBK" w:cs="Times New Roman"/>
          <w:sz w:val="44"/>
          <w:szCs w:val="44"/>
        </w:rPr>
        <w:t>长三角高新视听博览会</w:t>
      </w:r>
    </w:p>
    <w:p>
      <w:pPr>
        <w:adjustRightInd w:val="0"/>
        <w:snapToGrid w:val="0"/>
        <w:spacing w:line="640" w:lineRule="exact"/>
        <w:jc w:val="center"/>
        <w:rPr>
          <w:rFonts w:ascii="方正小标宋_GBK" w:hAnsi="方正仿宋_GBK" w:eastAsia="方正小标宋_GBK" w:cs="方正仿宋_GBK"/>
          <w:sz w:val="44"/>
          <w:szCs w:val="44"/>
        </w:rPr>
      </w:pPr>
      <w:r>
        <w:rPr>
          <w:rFonts w:hint="eastAsia" w:ascii="方正小标宋_GBK" w:hAnsi="Times New Roman" w:eastAsia="方正小标宋_GBK" w:cs="Times New Roman"/>
          <w:sz w:val="44"/>
          <w:szCs w:val="44"/>
        </w:rPr>
        <w:t>展会基本情况</w:t>
      </w:r>
    </w:p>
    <w:bookmarkEnd w:id="0"/>
    <w:p>
      <w:pPr>
        <w:adjustRightInd w:val="0"/>
        <w:snapToGrid w:val="0"/>
        <w:spacing w:line="600" w:lineRule="exact"/>
        <w:ind w:firstLine="707" w:firstLineChars="221"/>
        <w:jc w:val="center"/>
        <w:rPr>
          <w:rFonts w:ascii="方正仿宋_GBK" w:hAnsi="方正仿宋_GBK" w:eastAsia="方正仿宋_GBK" w:cs="方正仿宋_GBK"/>
          <w:sz w:val="32"/>
          <w:szCs w:val="28"/>
        </w:rPr>
      </w:pPr>
    </w:p>
    <w:p>
      <w:pPr>
        <w:pStyle w:val="4"/>
        <w:spacing w:line="560" w:lineRule="exact"/>
        <w:ind w:firstLine="640"/>
        <w:rPr>
          <w:rFonts w:ascii="方正黑体_GBK" w:hAnsi="黑体" w:eastAsia="方正黑体_GBK" w:cs="黑体"/>
          <w:sz w:val="32"/>
          <w:szCs w:val="28"/>
        </w:rPr>
      </w:pPr>
      <w:r>
        <w:rPr>
          <w:rFonts w:hint="eastAsia" w:ascii="方正黑体_GBK" w:hAnsi="黑体" w:eastAsia="方正黑体_GBK" w:cs="黑体"/>
          <w:sz w:val="32"/>
          <w:szCs w:val="28"/>
        </w:rPr>
        <w:t>一、展会背景</w:t>
      </w:r>
    </w:p>
    <w:p>
      <w:pPr>
        <w:pStyle w:val="4"/>
        <w:spacing w:line="560" w:lineRule="exact"/>
        <w:ind w:firstLine="640"/>
        <w:rPr>
          <w:rFonts w:ascii="方正仿宋_GBK" w:hAnsi="方正仿宋_GBK" w:eastAsia="方正仿宋_GBK" w:cs="方正仿宋_GBK"/>
          <w:sz w:val="32"/>
          <w:szCs w:val="28"/>
        </w:rPr>
      </w:pPr>
      <w:r>
        <w:rPr>
          <w:rFonts w:hint="eastAsia" w:ascii="方正仿宋_GBK" w:hAnsi="方正仿宋_GBK" w:eastAsia="方正仿宋_GBK" w:cs="方正仿宋_GBK"/>
          <w:sz w:val="32"/>
          <w:szCs w:val="28"/>
        </w:rPr>
        <w:t>长江三角洲区域一体化发展，是中央部署和推动的国家战略。同时，面对媒体格局、舆论生态、传播技术发生深刻变化的新形势，视听行业正在朝着高清化、新业态方向发展，给广播电视和网络视听行业发展带来了新机遇和新挑战。</w:t>
      </w:r>
    </w:p>
    <w:p>
      <w:pPr>
        <w:pStyle w:val="4"/>
        <w:spacing w:line="560" w:lineRule="exact"/>
        <w:ind w:firstLine="656" w:firstLineChars="205"/>
        <w:rPr>
          <w:rFonts w:ascii="方正仿宋_GBK" w:hAnsi="方正仿宋_GBK" w:eastAsia="方正仿宋_GBK" w:cs="方正仿宋_GBK"/>
          <w:sz w:val="32"/>
          <w:szCs w:val="28"/>
        </w:rPr>
      </w:pPr>
      <w:r>
        <w:rPr>
          <w:rFonts w:hint="eastAsia" w:ascii="方正仿宋_GBK" w:hAnsi="方正仿宋_GBK" w:eastAsia="方正仿宋_GBK" w:cs="方正仿宋_GBK"/>
          <w:sz w:val="32"/>
          <w:szCs w:val="28"/>
        </w:rPr>
        <w:t>为贯彻落实中央和省委省政府、国家广电总局有关部署要求，立足当前广播电视和网络视听发展的新形势和行业发展的新需求，由江苏省广电局牵头、长三角两省一市广电局支持举办</w:t>
      </w:r>
      <w:r>
        <w:rPr>
          <w:rFonts w:ascii="Times New Roman" w:hAnsi="Times New Roman" w:eastAsia="方正仿宋_GBK" w:cs="Times New Roman"/>
          <w:sz w:val="32"/>
          <w:szCs w:val="28"/>
        </w:rPr>
        <w:t>2020</w:t>
      </w:r>
      <w:r>
        <w:rPr>
          <w:rFonts w:hint="eastAsia" w:ascii="方正仿宋_GBK" w:hAnsi="方正仿宋_GBK" w:eastAsia="方正仿宋_GBK" w:cs="方正仿宋_GBK"/>
          <w:sz w:val="32"/>
          <w:szCs w:val="28"/>
        </w:rPr>
        <w:t>长三角高新视听博览会。汇集长三角地区广播电视和网络视听制作、传输和播出机构，互联网视听节目集成、播出平台，部分国内外知名视听内容生产制作单位，无线、有线、卫星及网络系统设备制造商、运营商、服务商，通过视听企业形象展示、视听创意资源合作共享、视听作品版权交易、视听新技术新设备展陈贸易、视听终端和服务业态互动体验、视听新趋势新动向研讨交流等，引领长三角乃至全国广播电视和网络视听业高质量发展。</w:t>
      </w:r>
    </w:p>
    <w:p>
      <w:pPr>
        <w:pStyle w:val="4"/>
        <w:spacing w:line="560" w:lineRule="exact"/>
        <w:ind w:firstLine="656" w:firstLineChars="205"/>
        <w:rPr>
          <w:rFonts w:ascii="方正仿宋_GBK" w:hAnsi="方正仿宋_GBK" w:eastAsia="方正仿宋_GBK" w:cs="方正仿宋_GBK"/>
          <w:sz w:val="32"/>
          <w:szCs w:val="28"/>
        </w:rPr>
      </w:pPr>
      <w:r>
        <w:rPr>
          <w:rFonts w:ascii="Times New Roman" w:hAnsi="Times New Roman" w:eastAsia="方正仿宋_GBK" w:cs="Times New Roman"/>
          <w:sz w:val="32"/>
          <w:szCs w:val="28"/>
        </w:rPr>
        <w:t>本届博览会以“融合新动能 智慧新视听”为主题，拟于2020年10月在南京国际展览中心（玄武区龙蟠路88号）举</w:t>
      </w:r>
      <w:r>
        <w:rPr>
          <w:rFonts w:hint="eastAsia" w:ascii="方正仿宋_GBK" w:hAnsi="方正仿宋_GBK" w:eastAsia="方正仿宋_GBK" w:cs="方正仿宋_GBK"/>
          <w:sz w:val="32"/>
          <w:szCs w:val="28"/>
        </w:rPr>
        <w:t>办。</w:t>
      </w:r>
    </w:p>
    <w:p>
      <w:pPr>
        <w:pStyle w:val="4"/>
        <w:spacing w:line="560" w:lineRule="exact"/>
        <w:ind w:firstLine="656" w:firstLineChars="205"/>
        <w:rPr>
          <w:rFonts w:ascii="方正黑体_GBK" w:hAnsi="方正仿宋_GBK" w:eastAsia="方正黑体_GBK" w:cs="方正仿宋_GBK"/>
          <w:sz w:val="32"/>
          <w:szCs w:val="28"/>
        </w:rPr>
      </w:pPr>
      <w:r>
        <w:rPr>
          <w:rFonts w:hint="eastAsia" w:ascii="方正黑体_GBK" w:hAnsi="黑体" w:eastAsia="方正黑体_GBK" w:cs="黑体"/>
          <w:sz w:val="32"/>
          <w:szCs w:val="28"/>
        </w:rPr>
        <w:t>二、基本信息</w:t>
      </w:r>
    </w:p>
    <w:p>
      <w:pPr>
        <w:spacing w:line="560" w:lineRule="exact"/>
        <w:ind w:right="-399" w:rightChars="-190" w:firstLine="640" w:firstLineChars="200"/>
        <w:jc w:val="left"/>
        <w:rPr>
          <w:rFonts w:ascii="Times New Roman" w:hAnsi="Times New Roman" w:eastAsia="方正仿宋_GBK" w:cs="Times New Roman"/>
          <w:sz w:val="32"/>
          <w:szCs w:val="28"/>
        </w:rPr>
      </w:pPr>
      <w:r>
        <w:rPr>
          <w:rFonts w:ascii="Times New Roman" w:hAnsi="Times New Roman" w:eastAsia="方正仿宋_GBK" w:cs="Times New Roman"/>
          <w:sz w:val="32"/>
          <w:szCs w:val="28"/>
        </w:rPr>
        <w:t>展会地点：南京国际展览中心（玄武区龙蟠路88号）</w:t>
      </w:r>
    </w:p>
    <w:p>
      <w:pPr>
        <w:spacing w:line="560" w:lineRule="exact"/>
        <w:ind w:firstLine="640" w:firstLineChars="200"/>
        <w:jc w:val="left"/>
        <w:rPr>
          <w:rFonts w:ascii="Times New Roman" w:hAnsi="Times New Roman" w:eastAsia="方正仿宋_GBK" w:cs="Times New Roman"/>
          <w:sz w:val="32"/>
          <w:szCs w:val="28"/>
        </w:rPr>
      </w:pPr>
      <w:r>
        <w:rPr>
          <w:rFonts w:ascii="Times New Roman" w:hAnsi="Times New Roman" w:eastAsia="方正仿宋_GBK" w:cs="Times New Roman"/>
          <w:sz w:val="32"/>
          <w:szCs w:val="28"/>
        </w:rPr>
        <w:t>展会时间：2020年10月16日</w:t>
      </w:r>
      <w:r>
        <w:rPr>
          <w:rFonts w:hint="eastAsia" w:ascii="Times New Roman" w:hAnsi="Times New Roman" w:eastAsia="方正仿宋_GBK" w:cs="Times New Roman"/>
          <w:sz w:val="32"/>
          <w:szCs w:val="28"/>
        </w:rPr>
        <w:t>—</w:t>
      </w:r>
      <w:r>
        <w:rPr>
          <w:rFonts w:ascii="Times New Roman" w:hAnsi="Times New Roman" w:eastAsia="方正仿宋_GBK" w:cs="Times New Roman"/>
          <w:sz w:val="32"/>
          <w:szCs w:val="28"/>
        </w:rPr>
        <w:t>10月18日</w:t>
      </w:r>
    </w:p>
    <w:p>
      <w:pPr>
        <w:pStyle w:val="4"/>
        <w:spacing w:line="560" w:lineRule="exact"/>
        <w:ind w:right="-540" w:rightChars="-257" w:firstLine="640"/>
        <w:jc w:val="left"/>
        <w:rPr>
          <w:rFonts w:ascii="Times New Roman" w:hAnsi="Times New Roman" w:eastAsia="方正仿宋_GBK" w:cs="Times New Roman"/>
          <w:sz w:val="32"/>
          <w:szCs w:val="28"/>
        </w:rPr>
      </w:pPr>
      <w:r>
        <w:rPr>
          <w:rFonts w:ascii="Times New Roman" w:hAnsi="Times New Roman" w:eastAsia="方正仿宋_GBK" w:cs="Times New Roman"/>
          <w:sz w:val="32"/>
          <w:szCs w:val="28"/>
        </w:rPr>
        <w:t>展会规模：展览总面积1.4万平方米（D馆、E馆）</w:t>
      </w:r>
    </w:p>
    <w:p>
      <w:pPr>
        <w:pStyle w:val="4"/>
        <w:spacing w:line="560" w:lineRule="exact"/>
        <w:ind w:firstLine="707" w:firstLineChars="221"/>
        <w:rPr>
          <w:rFonts w:ascii="方正黑体_GBK" w:hAnsi="黑体" w:eastAsia="方正黑体_GBK" w:cs="黑体"/>
          <w:sz w:val="32"/>
          <w:szCs w:val="28"/>
        </w:rPr>
      </w:pPr>
      <w:r>
        <w:rPr>
          <w:rFonts w:hint="eastAsia" w:ascii="方正黑体_GBK" w:hAnsi="黑体" w:eastAsia="方正黑体_GBK" w:cs="黑体"/>
          <w:sz w:val="32"/>
          <w:szCs w:val="28"/>
        </w:rPr>
        <w:t>三、组织架构</w:t>
      </w:r>
    </w:p>
    <w:p>
      <w:pPr>
        <w:spacing w:line="560" w:lineRule="exact"/>
        <w:ind w:firstLine="646" w:firstLineChars="202"/>
        <w:rPr>
          <w:rFonts w:ascii="方正仿宋_GBK" w:hAnsi="方正仿宋_GBK" w:eastAsia="方正仿宋_GBK" w:cs="方正仿宋_GBK"/>
          <w:bCs/>
          <w:sz w:val="32"/>
          <w:szCs w:val="28"/>
        </w:rPr>
      </w:pPr>
      <w:r>
        <w:rPr>
          <w:rFonts w:hint="eastAsia" w:ascii="方正仿宋_GBK" w:hAnsi="方正仿宋_GBK" w:eastAsia="方正仿宋_GBK" w:cs="方正仿宋_GBK"/>
          <w:sz w:val="32"/>
          <w:szCs w:val="28"/>
        </w:rPr>
        <w:t>主办单位：</w:t>
      </w:r>
      <w:r>
        <w:rPr>
          <w:rFonts w:hint="eastAsia" w:ascii="方正仿宋_GBK" w:hAnsi="方正仿宋_GBK" w:eastAsia="方正仿宋_GBK" w:cs="方正仿宋_GBK"/>
          <w:bCs/>
          <w:sz w:val="32"/>
          <w:szCs w:val="28"/>
        </w:rPr>
        <w:t>江苏省广播电视局</w:t>
      </w:r>
    </w:p>
    <w:p>
      <w:pPr>
        <w:spacing w:line="560" w:lineRule="exact"/>
        <w:ind w:left="638" w:leftChars="304"/>
        <w:rPr>
          <w:rFonts w:hint="eastAsia" w:ascii="方正仿宋_GBK" w:hAnsi="方正仿宋_GBK" w:eastAsia="方正仿宋_GBK" w:cs="方正仿宋_GBK"/>
          <w:bCs/>
          <w:sz w:val="32"/>
          <w:szCs w:val="28"/>
        </w:rPr>
      </w:pPr>
      <w:r>
        <w:rPr>
          <w:rFonts w:hint="eastAsia" w:ascii="方正仿宋_GBK" w:hAnsi="方正仿宋_GBK" w:eastAsia="方正仿宋_GBK" w:cs="方正仿宋_GBK"/>
          <w:sz w:val="32"/>
          <w:szCs w:val="28"/>
        </w:rPr>
        <w:t>支持单位：</w:t>
      </w:r>
      <w:r>
        <w:rPr>
          <w:rFonts w:hint="eastAsia" w:ascii="方正仿宋_GBK" w:hAnsi="方正仿宋_GBK" w:eastAsia="方正仿宋_GBK" w:cs="方正仿宋_GBK"/>
          <w:bCs/>
          <w:sz w:val="32"/>
          <w:szCs w:val="28"/>
        </w:rPr>
        <w:t>上海市广播电视局、浙江省广播电视局、安</w:t>
      </w:r>
    </w:p>
    <w:p>
      <w:pPr>
        <w:spacing w:line="560" w:lineRule="exact"/>
        <w:rPr>
          <w:rFonts w:ascii="方正仿宋_GBK" w:hAnsi="方正仿宋_GBK" w:eastAsia="方正仿宋_GBK" w:cs="方正仿宋_GBK"/>
          <w:bCs/>
          <w:sz w:val="32"/>
          <w:szCs w:val="28"/>
        </w:rPr>
      </w:pPr>
      <w:r>
        <w:rPr>
          <w:rFonts w:hint="eastAsia" w:ascii="方正仿宋_GBK" w:hAnsi="方正仿宋_GBK" w:eastAsia="方正仿宋_GBK" w:cs="方正仿宋_GBK"/>
          <w:bCs/>
          <w:sz w:val="32"/>
          <w:szCs w:val="28"/>
        </w:rPr>
        <w:t>徽省广播电视局</w:t>
      </w:r>
    </w:p>
    <w:p>
      <w:pPr>
        <w:spacing w:line="560" w:lineRule="exact"/>
        <w:ind w:firstLine="646" w:firstLineChars="202"/>
        <w:rPr>
          <w:rFonts w:ascii="方正仿宋_GBK" w:hAnsi="方正仿宋_GBK" w:eastAsia="方正仿宋_GBK" w:cs="方正仿宋_GBK"/>
          <w:sz w:val="32"/>
          <w:szCs w:val="28"/>
        </w:rPr>
      </w:pPr>
      <w:r>
        <w:rPr>
          <w:rFonts w:hint="eastAsia" w:ascii="方正仿宋_GBK" w:hAnsi="方正仿宋_GBK" w:eastAsia="方正仿宋_GBK" w:cs="方正仿宋_GBK"/>
          <w:sz w:val="32"/>
          <w:szCs w:val="28"/>
        </w:rPr>
        <w:t>承办单位：江苏文创文化发展有限公司</w:t>
      </w:r>
    </w:p>
    <w:p>
      <w:pPr>
        <w:pStyle w:val="4"/>
        <w:spacing w:line="560" w:lineRule="exact"/>
        <w:ind w:firstLine="707" w:firstLineChars="221"/>
        <w:rPr>
          <w:rFonts w:ascii="方正黑体_GBK" w:hAnsi="黑体" w:eastAsia="方正黑体_GBK" w:cs="黑体"/>
          <w:sz w:val="32"/>
          <w:szCs w:val="28"/>
        </w:rPr>
      </w:pPr>
      <w:r>
        <w:rPr>
          <w:rFonts w:hint="eastAsia" w:ascii="方正黑体_GBK" w:hAnsi="黑体" w:eastAsia="方正黑体_GBK" w:cs="黑体"/>
          <w:sz w:val="32"/>
          <w:szCs w:val="28"/>
        </w:rPr>
        <w:t>四、展会内容</w:t>
      </w:r>
    </w:p>
    <w:p>
      <w:pPr>
        <w:spacing w:line="560" w:lineRule="exact"/>
        <w:ind w:firstLine="646" w:firstLineChars="202"/>
        <w:rPr>
          <w:rFonts w:ascii="方正仿宋_GBK" w:hAnsi="方正仿宋_GBK" w:eastAsia="方正仿宋_GBK" w:cs="方正仿宋_GBK"/>
          <w:sz w:val="32"/>
          <w:szCs w:val="28"/>
        </w:rPr>
      </w:pPr>
      <w:r>
        <w:rPr>
          <w:rFonts w:hint="eastAsia" w:ascii="方正仿宋_GBK" w:hAnsi="方正仿宋_GBK" w:eastAsia="方正仿宋_GBK" w:cs="方正仿宋_GBK"/>
          <w:sz w:val="32"/>
          <w:szCs w:val="28"/>
        </w:rPr>
        <w:t>展会将由展览展示、论坛活动、路演推介等三部分构成。</w:t>
      </w:r>
    </w:p>
    <w:p>
      <w:pPr>
        <w:spacing w:line="560" w:lineRule="exact"/>
        <w:ind w:firstLine="646" w:firstLineChars="202"/>
        <w:rPr>
          <w:rFonts w:ascii="方正仿宋_GBK" w:hAnsi="方正仿宋_GBK" w:eastAsia="方正仿宋_GBK" w:cs="方正仿宋_GBK"/>
          <w:sz w:val="32"/>
          <w:szCs w:val="28"/>
        </w:rPr>
      </w:pPr>
      <w:r>
        <w:rPr>
          <w:rFonts w:hint="eastAsia" w:ascii="方正楷体_GBK" w:hAnsi="方正仿宋_GBK" w:eastAsia="方正楷体_GBK" w:cs="方正仿宋_GBK"/>
          <w:bCs/>
          <w:sz w:val="32"/>
          <w:szCs w:val="28"/>
        </w:rPr>
        <w:t>（一）展览展示。</w:t>
      </w:r>
      <w:r>
        <w:rPr>
          <w:rFonts w:hint="eastAsia" w:ascii="方正仿宋_GBK" w:hAnsi="方正仿宋_GBK" w:eastAsia="方正仿宋_GBK" w:cs="方正仿宋_GBK"/>
          <w:sz w:val="32"/>
          <w:szCs w:val="28"/>
        </w:rPr>
        <w:t>本届展会设置</w:t>
      </w:r>
      <w:r>
        <w:rPr>
          <w:rFonts w:hint="eastAsia" w:ascii="方正仿宋_GBK" w:hAnsi="方正仿宋_GBK" w:eastAsia="方正仿宋_GBK" w:cs="方正仿宋_GBK"/>
          <w:bCs/>
          <w:sz w:val="32"/>
          <w:szCs w:val="28"/>
        </w:rPr>
        <w:t>三省一市主题展区及“视听新盛宴”、“视听新业态”、“视听新生活”</w:t>
      </w:r>
      <w:r>
        <w:rPr>
          <w:rFonts w:hint="eastAsia" w:ascii="方正仿宋_GBK" w:hAnsi="方正仿宋_GBK" w:eastAsia="方正仿宋_GBK" w:cs="方正仿宋_GBK"/>
          <w:sz w:val="32"/>
          <w:szCs w:val="28"/>
        </w:rPr>
        <w:t>三大展区，其中</w:t>
      </w:r>
      <w:r>
        <w:rPr>
          <w:rFonts w:hint="eastAsia" w:ascii="方正仿宋_GBK" w:hAnsi="方正仿宋_GBK" w:eastAsia="方正仿宋_GBK" w:cs="方正仿宋_GBK"/>
          <w:bCs/>
          <w:sz w:val="32"/>
          <w:szCs w:val="28"/>
        </w:rPr>
        <w:t>三省一市主题展区</w:t>
      </w:r>
      <w:r>
        <w:rPr>
          <w:rFonts w:hint="eastAsia" w:ascii="方正仿宋_GBK" w:hAnsi="方正仿宋_GBK" w:eastAsia="方正仿宋_GBK" w:cs="方正仿宋_GBK"/>
          <w:sz w:val="32"/>
          <w:szCs w:val="28"/>
        </w:rPr>
        <w:t>主要展示三省一市的卫星频道、地面频道、广播电台、有线网络及视听行业的综合发展情况，</w:t>
      </w:r>
      <w:r>
        <w:rPr>
          <w:rFonts w:hint="eastAsia" w:ascii="方正仿宋_GBK" w:hAnsi="方正仿宋_GBK" w:eastAsia="方正仿宋_GBK" w:cs="方正仿宋_GBK"/>
          <w:bCs/>
          <w:sz w:val="32"/>
          <w:szCs w:val="28"/>
        </w:rPr>
        <w:t>“视听新盛宴”</w:t>
      </w:r>
      <w:r>
        <w:rPr>
          <w:rFonts w:hint="eastAsia" w:ascii="方正仿宋_GBK" w:hAnsi="方正仿宋_GBK" w:eastAsia="方正仿宋_GBK" w:cs="方正仿宋_GBK"/>
          <w:sz w:val="32"/>
          <w:szCs w:val="28"/>
        </w:rPr>
        <w:t>展区以视听内容为主，展示动漫、纪录片及电视剧、综艺节目、网络剧、微电影等优质影视制作公司；</w:t>
      </w:r>
      <w:r>
        <w:rPr>
          <w:rFonts w:hint="eastAsia" w:ascii="方正仿宋_GBK" w:hAnsi="方正仿宋_GBK" w:eastAsia="方正仿宋_GBK" w:cs="方正仿宋_GBK"/>
          <w:bCs/>
          <w:sz w:val="32"/>
          <w:szCs w:val="28"/>
        </w:rPr>
        <w:t>“视听新业态”</w:t>
      </w:r>
      <w:r>
        <w:rPr>
          <w:rFonts w:hint="eastAsia" w:ascii="方正仿宋_GBK" w:hAnsi="方正仿宋_GBK" w:eastAsia="方正仿宋_GBK" w:cs="方正仿宋_GBK"/>
          <w:sz w:val="32"/>
          <w:szCs w:val="28"/>
        </w:rPr>
        <w:t>以视听新技术新装备为主，展示</w:t>
      </w:r>
      <w:r>
        <w:rPr>
          <w:rFonts w:ascii="Times New Roman" w:hAnsi="Times New Roman" w:eastAsia="方正仿宋_GBK" w:cs="Times New Roman"/>
          <w:sz w:val="32"/>
          <w:szCs w:val="28"/>
        </w:rPr>
        <w:t>5G网络、物联网、大数据、3D技术、人工智能、4K超高清等新技术和影视器材、图传设备、HDR</w:t>
      </w:r>
      <w:r>
        <w:rPr>
          <w:rFonts w:hint="eastAsia" w:ascii="方正仿宋_GBK" w:hAnsi="方正仿宋_GBK" w:eastAsia="方正仿宋_GBK" w:cs="方正仿宋_GBK"/>
          <w:sz w:val="32"/>
          <w:szCs w:val="28"/>
        </w:rPr>
        <w:t>转播车、智能车机等新装备在视听产业的应用，</w:t>
      </w:r>
      <w:r>
        <w:rPr>
          <w:rFonts w:hint="eastAsia" w:ascii="方正仿宋_GBK" w:hAnsi="方正仿宋_GBK" w:eastAsia="方正仿宋_GBK" w:cs="方正仿宋_GBK"/>
          <w:bCs/>
          <w:sz w:val="32"/>
          <w:szCs w:val="28"/>
        </w:rPr>
        <w:t>“视听新生活”</w:t>
      </w:r>
      <w:r>
        <w:rPr>
          <w:rFonts w:hint="eastAsia" w:ascii="方正仿宋_GBK" w:hAnsi="方正仿宋_GBK" w:eastAsia="方正仿宋_GBK" w:cs="方正仿宋_GBK"/>
          <w:sz w:val="32"/>
          <w:szCs w:val="28"/>
        </w:rPr>
        <w:t>以网络视听平台、视听终端体验和服务为主，一方面展示网络视听平台的发展成果和与观众生活息息相关的各类视听设备，另一方面以场景化的表达方式打造具有互动体验感的“未来客厅”、“智慧课堂”、“电台列车”和“游戏体验室”四大特色体验区，展示高新视听在家庭、教育、出行和娱乐四个常见生活情景的应用。</w:t>
      </w:r>
    </w:p>
    <w:p>
      <w:pPr>
        <w:spacing w:line="560" w:lineRule="exact"/>
        <w:ind w:firstLine="646" w:firstLineChars="202"/>
        <w:rPr>
          <w:rFonts w:ascii="方正仿宋_GBK" w:hAnsi="方正仿宋_GBK" w:eastAsia="方正仿宋_GBK" w:cs="方正仿宋_GBK"/>
          <w:sz w:val="32"/>
          <w:szCs w:val="28"/>
        </w:rPr>
      </w:pPr>
      <w:r>
        <w:rPr>
          <w:rFonts w:hint="eastAsia" w:ascii="方正楷体_GBK" w:hAnsi="方正仿宋_GBK" w:eastAsia="方正楷体_GBK" w:cs="方正仿宋_GBK"/>
          <w:bCs/>
          <w:sz w:val="32"/>
          <w:szCs w:val="28"/>
        </w:rPr>
        <w:t>（二）论坛活动。</w:t>
      </w:r>
      <w:r>
        <w:rPr>
          <w:rFonts w:ascii="Times New Roman" w:hAnsi="Times New Roman" w:eastAsia="方正仿宋_GBK" w:cs="Times New Roman"/>
          <w:sz w:val="32"/>
          <w:szCs w:val="28"/>
        </w:rPr>
        <w:t>2020</w:t>
      </w:r>
      <w:r>
        <w:rPr>
          <w:rFonts w:hint="eastAsia" w:ascii="方正仿宋_GBK" w:hAnsi="方正仿宋_GBK" w:eastAsia="方正仿宋_GBK" w:cs="方正仿宋_GBK"/>
          <w:sz w:val="32"/>
          <w:szCs w:val="28"/>
        </w:rPr>
        <w:t>长三角高新视听博览会主要活动由开幕式和系列主题论坛、培训班、颁奖典礼组成。其中开幕式将于展馆中心舞台举办，主题论坛、培训班、颁奖典礼</w:t>
      </w:r>
      <w:r>
        <w:rPr>
          <w:rFonts w:hint="eastAsia" w:ascii="方正仿宋_GBK" w:hAnsi="方正仿宋_GBK" w:eastAsia="方正仿宋_GBK" w:cs="方正仿宋_GBK"/>
          <w:bCs/>
          <w:sz w:val="32"/>
          <w:szCs w:val="28"/>
        </w:rPr>
        <w:t>等</w:t>
      </w:r>
      <w:r>
        <w:rPr>
          <w:rFonts w:hint="eastAsia" w:ascii="方正仿宋_GBK" w:hAnsi="方正仿宋_GBK" w:eastAsia="方正仿宋_GBK" w:cs="方正仿宋_GBK"/>
          <w:sz w:val="32"/>
          <w:szCs w:val="28"/>
        </w:rPr>
        <w:t>将发挥高等院校、专业机构、领军企业等的优势。</w:t>
      </w:r>
    </w:p>
    <w:p>
      <w:pPr>
        <w:spacing w:line="560" w:lineRule="exact"/>
        <w:ind w:firstLine="646" w:firstLineChars="202"/>
        <w:rPr>
          <w:rFonts w:ascii="方正仿宋_GBK" w:hAnsi="方正仿宋_GBK" w:eastAsia="方正仿宋_GBK" w:cs="方正仿宋_GBK"/>
          <w:sz w:val="32"/>
          <w:szCs w:val="28"/>
        </w:rPr>
      </w:pPr>
      <w:r>
        <w:rPr>
          <w:rFonts w:hint="eastAsia" w:ascii="方正楷体_GBK" w:hAnsi="方正仿宋_GBK" w:eastAsia="方正楷体_GBK" w:cs="方正仿宋_GBK"/>
          <w:bCs/>
          <w:sz w:val="32"/>
          <w:szCs w:val="28"/>
        </w:rPr>
        <w:t>（三）路演推介。</w:t>
      </w:r>
      <w:r>
        <w:rPr>
          <w:rFonts w:hint="eastAsia" w:ascii="方正仿宋_GBK" w:hAnsi="方正仿宋_GBK" w:eastAsia="方正仿宋_GBK" w:cs="方正仿宋_GBK"/>
          <w:sz w:val="32"/>
          <w:szCs w:val="28"/>
        </w:rPr>
        <w:t>开展重点视听产业项目的路演、推介，以及国内有关各级政府和机构的产业招商引资、引智等内容。此环节是沟通视听产业供需双方，吸引专业观众、集聚现场人气的亮点之一。</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panose1 w:val="03000509000000000000"/>
    <w:charset w:val="86"/>
    <w:family w:val="script"/>
    <w:pitch w:val="default"/>
    <w:sig w:usb0="00000000" w:usb1="00000000" w:usb2="00000000" w:usb3="00000000" w:csb0="00000000" w:csb1="00000000"/>
  </w:font>
  <w:font w:name="方正黑体_GBK">
    <w:panose1 w:val="03000509000000000000"/>
    <w:charset w:val="86"/>
    <w:family w:val="script"/>
    <w:pitch w:val="default"/>
    <w:sig w:usb0="00000000" w:usb1="00000000" w:usb2="00000000" w:usb3="00000000" w:csb0="00000000" w:csb1="00000000"/>
  </w:font>
  <w:font w:name="方正小标宋_GBK">
    <w:panose1 w:val="03000509000000000000"/>
    <w:charset w:val="86"/>
    <w:family w:val="script"/>
    <w:pitch w:val="default"/>
    <w:sig w:usb0="00000000" w:usb1="00000000" w:usb2="00000000" w:usb3="00000000" w:csb0="00000000" w:csb1="00000000"/>
  </w:font>
  <w:font w:name="方正楷体_GBK">
    <w:panose1 w:val="03000509000000000000"/>
    <w:charset w:val="86"/>
    <w:family w:val="script"/>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EE3F2D"/>
    <w:rsid w:val="2EEE3F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等线" w:hAnsi="等线" w:eastAsia="宋体" w:cs="等线"/>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2020-07-13T03:21:00Z</dcterms:created>
  <dc:creator>STSK</dc:creator>
  <cp:lastModifiedBy>STSK</cp:lastModifiedBy>
  <dcterms:modified xsi:type="dcterms:W3CDTF">2020-07-13T03:22:42Z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