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W w:w="102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75"/>
        <w:gridCol w:w="1349"/>
        <w:gridCol w:w="2374"/>
        <w:gridCol w:w="2481"/>
        <w:gridCol w:w="978"/>
        <w:gridCol w:w="1077"/>
        <w:gridCol w:w="12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2124" w:type="dxa"/>
            <w:gridSpan w:val="2"/>
            <w:tcBorders>
              <w:top w:val="nil"/>
              <w:left w:val="nil"/>
              <w:bottom w:val="nil"/>
              <w:right w:val="nil"/>
            </w:tcBorders>
            <w:shd w:val="clear" w:color="auto" w:fill="auto"/>
            <w:noWrap/>
            <w:vAlign w:val="center"/>
          </w:tcPr>
          <w:p>
            <w:pPr>
              <w:keepNext w:val="0"/>
              <w:keepLines w:val="0"/>
              <w:widowControl/>
              <w:suppressLineNumbers w:val="0"/>
              <w:ind w:left="0" w:leftChars="0" w:firstLine="0" w:firstLineChars="0"/>
              <w:jc w:val="left"/>
              <w:textAlignment w:val="center"/>
              <w:rPr>
                <w:rFonts w:ascii="黑体" w:hAnsi="宋体" w:eastAsia="黑体" w:cs="黑体"/>
                <w:i w:val="0"/>
                <w:color w:val="000000"/>
                <w:sz w:val="24"/>
                <w:szCs w:val="24"/>
                <w:u w:val="none"/>
              </w:rPr>
            </w:pPr>
            <w:r>
              <w:rPr>
                <w:rFonts w:hint="eastAsia" w:ascii="方正黑体_GBK" w:hAnsi="方正黑体_GBK" w:eastAsia="方正黑体_GBK" w:cs="方正黑体_GBK"/>
                <w:i w:val="0"/>
                <w:snapToGrid w:val="0"/>
                <w:color w:val="000000"/>
                <w:kern w:val="0"/>
                <w:sz w:val="32"/>
                <w:szCs w:val="32"/>
                <w:u w:val="none"/>
                <w:lang w:val="en-US" w:eastAsia="zh-CN" w:bidi="ar"/>
              </w:rPr>
              <w:t>附件</w:t>
            </w:r>
          </w:p>
        </w:tc>
        <w:tc>
          <w:tcPr>
            <w:tcW w:w="2374" w:type="dxa"/>
            <w:tcBorders>
              <w:top w:val="nil"/>
              <w:left w:val="nil"/>
              <w:bottom w:val="nil"/>
              <w:right w:val="nil"/>
            </w:tcBorders>
            <w:shd w:val="clear" w:color="auto" w:fill="auto"/>
            <w:noWrap/>
            <w:vAlign w:val="center"/>
          </w:tcPr>
          <w:p>
            <w:pPr>
              <w:jc w:val="both"/>
              <w:rPr>
                <w:rFonts w:hint="eastAsia" w:ascii="宋体" w:hAnsi="宋体" w:eastAsia="宋体" w:cs="宋体"/>
                <w:i w:val="0"/>
                <w:color w:val="000000"/>
                <w:sz w:val="22"/>
                <w:szCs w:val="22"/>
                <w:u w:val="none"/>
              </w:rPr>
            </w:pPr>
          </w:p>
        </w:tc>
        <w:tc>
          <w:tcPr>
            <w:tcW w:w="2481" w:type="dxa"/>
            <w:tcBorders>
              <w:top w:val="nil"/>
              <w:left w:val="nil"/>
              <w:bottom w:val="nil"/>
              <w:right w:val="nil"/>
            </w:tcBorders>
            <w:shd w:val="clear" w:color="auto" w:fill="auto"/>
            <w:noWrap/>
            <w:vAlign w:val="center"/>
          </w:tcPr>
          <w:p>
            <w:pPr>
              <w:jc w:val="both"/>
              <w:rPr>
                <w:rFonts w:hint="eastAsia" w:ascii="宋体" w:hAnsi="宋体" w:eastAsia="宋体" w:cs="宋体"/>
                <w:i w:val="0"/>
                <w:color w:val="000000"/>
                <w:sz w:val="22"/>
                <w:szCs w:val="22"/>
                <w:u w:val="none"/>
              </w:rPr>
            </w:pPr>
          </w:p>
        </w:tc>
        <w:tc>
          <w:tcPr>
            <w:tcW w:w="978" w:type="dxa"/>
            <w:tcBorders>
              <w:top w:val="nil"/>
              <w:left w:val="nil"/>
              <w:bottom w:val="nil"/>
              <w:right w:val="nil"/>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077" w:type="dxa"/>
            <w:tcBorders>
              <w:top w:val="nil"/>
              <w:left w:val="nil"/>
              <w:bottom w:val="nil"/>
              <w:right w:val="nil"/>
            </w:tcBorders>
            <w:shd w:val="clear" w:color="auto" w:fill="auto"/>
            <w:noWrap/>
            <w:vAlign w:val="center"/>
          </w:tcPr>
          <w:p>
            <w:pPr>
              <w:jc w:val="center"/>
              <w:rPr>
                <w:rFonts w:hint="eastAsia" w:ascii="宋体" w:hAnsi="宋体" w:eastAsia="宋体" w:cs="宋体"/>
                <w:i w:val="0"/>
                <w:color w:val="000000"/>
                <w:sz w:val="22"/>
                <w:szCs w:val="22"/>
                <w:u w:val="none"/>
              </w:rPr>
            </w:pPr>
          </w:p>
        </w:tc>
        <w:tc>
          <w:tcPr>
            <w:tcW w:w="1246" w:type="dxa"/>
            <w:tcBorders>
              <w:top w:val="nil"/>
              <w:left w:val="nil"/>
              <w:bottom w:val="nil"/>
              <w:right w:val="nil"/>
            </w:tcBorders>
            <w:shd w:val="clear" w:color="auto" w:fill="auto"/>
            <w:noWrap/>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jc w:val="center"/>
        </w:trPr>
        <w:tc>
          <w:tcPr>
            <w:tcW w:w="10280" w:type="dxa"/>
            <w:gridSpan w:val="7"/>
            <w:tcBorders>
              <w:top w:val="nil"/>
              <w:left w:val="nil"/>
              <w:bottom w:val="nil"/>
              <w:right w:val="nil"/>
            </w:tcBorders>
            <w:shd w:val="clear" w:color="auto" w:fill="auto"/>
            <w:noWrap/>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640" w:lineRule="exact"/>
              <w:ind w:firstLine="624"/>
              <w:jc w:val="center"/>
              <w:textAlignment w:val="center"/>
              <w:rPr>
                <w:rFonts w:ascii="华文中宋" w:hAnsi="华文中宋" w:eastAsia="华文中宋" w:cs="华文中宋"/>
                <w:i w:val="0"/>
                <w:color w:val="000000"/>
                <w:sz w:val="48"/>
                <w:szCs w:val="48"/>
                <w:u w:val="none"/>
              </w:rPr>
            </w:pPr>
            <w:bookmarkStart w:id="0" w:name="_GoBack"/>
            <w:r>
              <w:rPr>
                <w:rFonts w:hint="eastAsia" w:ascii="方正小标宋_GBK" w:hAnsi="方正小标宋_GBK" w:eastAsia="方正小标宋_GBK" w:cs="方正小标宋_GBK"/>
                <w:i w:val="0"/>
                <w:snapToGrid w:val="0"/>
                <w:color w:val="000000"/>
                <w:kern w:val="0"/>
                <w:sz w:val="44"/>
                <w:szCs w:val="44"/>
                <w:u w:val="none"/>
                <w:lang w:val="en-US" w:eastAsia="zh-CN" w:bidi="ar"/>
              </w:rPr>
              <w:t>2022年度全省广播电视系统教育培训计划表</w:t>
            </w:r>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9" w:hRule="atLeast"/>
          <w:jc w:val="center"/>
        </w:trPr>
        <w:tc>
          <w:tcPr>
            <w:tcW w:w="775" w:type="dxa"/>
            <w:tcBorders>
              <w:top w:val="nil"/>
              <w:left w:val="nil"/>
              <w:bottom w:val="nil"/>
              <w:right w:val="nil"/>
            </w:tcBorders>
            <w:shd w:val="clear" w:color="auto" w:fill="auto"/>
            <w:noWrap/>
            <w:vAlign w:val="center"/>
          </w:tcPr>
          <w:p>
            <w:pPr>
              <w:jc w:val="center"/>
              <w:rPr>
                <w:rFonts w:hint="eastAsia" w:ascii="宋体" w:hAnsi="宋体" w:eastAsia="宋体" w:cs="宋体"/>
                <w:b/>
                <w:i w:val="0"/>
                <w:color w:val="000000"/>
                <w:sz w:val="40"/>
                <w:szCs w:val="40"/>
                <w:u w:val="none"/>
              </w:rPr>
            </w:pPr>
          </w:p>
        </w:tc>
        <w:tc>
          <w:tcPr>
            <w:tcW w:w="1349" w:type="dxa"/>
            <w:tcBorders>
              <w:top w:val="nil"/>
              <w:left w:val="nil"/>
              <w:bottom w:val="nil"/>
              <w:right w:val="nil"/>
            </w:tcBorders>
            <w:shd w:val="clear" w:color="auto" w:fill="auto"/>
            <w:noWrap/>
            <w:vAlign w:val="center"/>
          </w:tcPr>
          <w:p>
            <w:pPr>
              <w:jc w:val="both"/>
              <w:rPr>
                <w:rFonts w:hint="eastAsia" w:ascii="宋体" w:hAnsi="宋体" w:eastAsia="宋体" w:cs="宋体"/>
                <w:b/>
                <w:i w:val="0"/>
                <w:color w:val="000000"/>
                <w:sz w:val="40"/>
                <w:szCs w:val="40"/>
                <w:u w:val="none"/>
              </w:rPr>
            </w:pPr>
          </w:p>
        </w:tc>
        <w:tc>
          <w:tcPr>
            <w:tcW w:w="2374" w:type="dxa"/>
            <w:tcBorders>
              <w:top w:val="nil"/>
              <w:left w:val="nil"/>
              <w:bottom w:val="nil"/>
              <w:right w:val="nil"/>
            </w:tcBorders>
            <w:shd w:val="clear" w:color="auto" w:fill="auto"/>
            <w:noWrap/>
            <w:vAlign w:val="center"/>
          </w:tcPr>
          <w:p>
            <w:pPr>
              <w:jc w:val="both"/>
              <w:rPr>
                <w:rFonts w:hint="eastAsia" w:ascii="宋体" w:hAnsi="宋体" w:eastAsia="宋体" w:cs="宋体"/>
                <w:b/>
                <w:i w:val="0"/>
                <w:color w:val="000000"/>
                <w:sz w:val="40"/>
                <w:szCs w:val="40"/>
                <w:u w:val="none"/>
              </w:rPr>
            </w:pPr>
          </w:p>
        </w:tc>
        <w:tc>
          <w:tcPr>
            <w:tcW w:w="2481" w:type="dxa"/>
            <w:tcBorders>
              <w:top w:val="nil"/>
              <w:left w:val="nil"/>
              <w:bottom w:val="nil"/>
              <w:right w:val="nil"/>
            </w:tcBorders>
            <w:shd w:val="clear" w:color="auto" w:fill="auto"/>
            <w:noWrap/>
            <w:vAlign w:val="center"/>
          </w:tcPr>
          <w:p>
            <w:pPr>
              <w:jc w:val="both"/>
              <w:rPr>
                <w:rFonts w:hint="eastAsia" w:ascii="宋体" w:hAnsi="宋体" w:eastAsia="宋体" w:cs="宋体"/>
                <w:b/>
                <w:i w:val="0"/>
                <w:color w:val="000000"/>
                <w:sz w:val="40"/>
                <w:szCs w:val="40"/>
                <w:u w:val="none"/>
              </w:rPr>
            </w:pPr>
          </w:p>
        </w:tc>
        <w:tc>
          <w:tcPr>
            <w:tcW w:w="978" w:type="dxa"/>
            <w:tcBorders>
              <w:top w:val="nil"/>
              <w:left w:val="nil"/>
              <w:bottom w:val="nil"/>
              <w:right w:val="nil"/>
            </w:tcBorders>
            <w:shd w:val="clear" w:color="auto" w:fill="auto"/>
            <w:noWrap/>
            <w:vAlign w:val="center"/>
          </w:tcPr>
          <w:p>
            <w:pPr>
              <w:jc w:val="center"/>
              <w:rPr>
                <w:rFonts w:hint="eastAsia" w:ascii="宋体" w:hAnsi="宋体" w:eastAsia="宋体" w:cs="宋体"/>
                <w:b/>
                <w:i w:val="0"/>
                <w:color w:val="000000"/>
                <w:sz w:val="40"/>
                <w:szCs w:val="40"/>
                <w:u w:val="none"/>
              </w:rPr>
            </w:pPr>
          </w:p>
        </w:tc>
        <w:tc>
          <w:tcPr>
            <w:tcW w:w="1077" w:type="dxa"/>
            <w:tcBorders>
              <w:top w:val="nil"/>
              <w:left w:val="nil"/>
              <w:bottom w:val="nil"/>
              <w:right w:val="nil"/>
            </w:tcBorders>
            <w:shd w:val="clear" w:color="auto" w:fill="auto"/>
            <w:noWrap/>
            <w:vAlign w:val="center"/>
          </w:tcPr>
          <w:p>
            <w:pPr>
              <w:jc w:val="center"/>
              <w:rPr>
                <w:rFonts w:hint="eastAsia" w:ascii="宋体" w:hAnsi="宋体" w:eastAsia="宋体" w:cs="宋体"/>
                <w:b/>
                <w:i w:val="0"/>
                <w:color w:val="000000"/>
                <w:sz w:val="40"/>
                <w:szCs w:val="40"/>
                <w:u w:val="none"/>
              </w:rPr>
            </w:pPr>
          </w:p>
        </w:tc>
        <w:tc>
          <w:tcPr>
            <w:tcW w:w="1246" w:type="dxa"/>
            <w:tcBorders>
              <w:top w:val="nil"/>
              <w:left w:val="nil"/>
              <w:bottom w:val="nil"/>
              <w:right w:val="nil"/>
            </w:tcBorders>
            <w:shd w:val="clear" w:color="auto" w:fill="auto"/>
            <w:noWrap/>
            <w:vAlign w:val="center"/>
          </w:tcPr>
          <w:p>
            <w:pPr>
              <w:jc w:val="center"/>
              <w:rPr>
                <w:rFonts w:hint="eastAsia" w:ascii="宋体" w:hAnsi="宋体" w:eastAsia="宋体" w:cs="宋体"/>
                <w:b/>
                <w:i w:val="0"/>
                <w:color w:val="000000"/>
                <w:sz w:val="40"/>
                <w:szCs w:val="4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4" w:hRule="atLeast"/>
          <w:jc w:val="center"/>
        </w:trPr>
        <w:tc>
          <w:tcPr>
            <w:tcW w:w="77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snapToGrid w:val="0"/>
                <w:color w:val="000000"/>
                <w:kern w:val="0"/>
                <w:sz w:val="24"/>
                <w:szCs w:val="24"/>
                <w:u w:val="none"/>
                <w:lang w:val="en-US" w:eastAsia="zh-CN" w:bidi="ar"/>
              </w:rPr>
              <w:t>序号</w:t>
            </w:r>
          </w:p>
        </w:tc>
        <w:tc>
          <w:tcPr>
            <w:tcW w:w="1349"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snapToGrid w:val="0"/>
                <w:color w:val="000000"/>
                <w:kern w:val="0"/>
                <w:sz w:val="24"/>
                <w:szCs w:val="24"/>
                <w:u w:val="none"/>
                <w:lang w:val="en-US" w:eastAsia="zh-CN" w:bidi="ar"/>
              </w:rPr>
              <w:t>项目名称</w:t>
            </w:r>
          </w:p>
        </w:tc>
        <w:tc>
          <w:tcPr>
            <w:tcW w:w="237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snapToGrid w:val="0"/>
                <w:color w:val="000000"/>
                <w:kern w:val="0"/>
                <w:sz w:val="24"/>
                <w:szCs w:val="24"/>
                <w:u w:val="none"/>
                <w:lang w:val="en-US" w:eastAsia="zh-CN" w:bidi="ar"/>
              </w:rPr>
              <w:t>培训内容</w:t>
            </w:r>
          </w:p>
        </w:tc>
        <w:tc>
          <w:tcPr>
            <w:tcW w:w="248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snapToGrid w:val="0"/>
                <w:color w:val="000000"/>
                <w:kern w:val="0"/>
                <w:sz w:val="24"/>
                <w:szCs w:val="24"/>
                <w:u w:val="none"/>
                <w:lang w:val="en-US" w:eastAsia="zh-CN" w:bidi="ar"/>
              </w:rPr>
              <w:t>培训对象</w:t>
            </w:r>
          </w:p>
        </w:tc>
        <w:tc>
          <w:tcPr>
            <w:tcW w:w="978"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snapToGrid w:val="0"/>
                <w:color w:val="000000"/>
                <w:kern w:val="0"/>
                <w:sz w:val="24"/>
                <w:szCs w:val="24"/>
                <w:u w:val="none"/>
                <w:lang w:val="en-US" w:eastAsia="zh-CN" w:bidi="ar"/>
              </w:rPr>
              <w:t>举办  时间</w:t>
            </w:r>
          </w:p>
        </w:tc>
        <w:tc>
          <w:tcPr>
            <w:tcW w:w="1077"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snapToGrid w:val="0"/>
                <w:color w:val="000000"/>
                <w:kern w:val="0"/>
                <w:sz w:val="24"/>
                <w:szCs w:val="24"/>
                <w:u w:val="none"/>
                <w:lang w:val="en-US" w:eastAsia="zh-CN" w:bidi="ar"/>
              </w:rPr>
              <w:t>培训天数</w:t>
            </w:r>
          </w:p>
        </w:tc>
        <w:tc>
          <w:tcPr>
            <w:tcW w:w="124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snapToGrid w:val="0"/>
                <w:color w:val="000000"/>
                <w:kern w:val="0"/>
                <w:sz w:val="24"/>
                <w:szCs w:val="24"/>
                <w:u w:val="none"/>
                <w:lang w:val="en-US" w:eastAsia="zh-CN" w:bidi="ar"/>
              </w:rPr>
              <w:t>承办单位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41" w:hRule="atLeast"/>
          <w:jc w:val="center"/>
        </w:trPr>
        <w:tc>
          <w:tcPr>
            <w:tcW w:w="77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b/>
                <w:i w:val="0"/>
                <w:color w:val="000000"/>
                <w:sz w:val="24"/>
                <w:szCs w:val="24"/>
                <w:u w:val="none"/>
              </w:rPr>
            </w:pPr>
            <w:r>
              <w:rPr>
                <w:rFonts w:hint="default" w:ascii="Times New Roman" w:hAnsi="Times New Roman" w:eastAsia="方正仿宋_GBK" w:cs="Times New Roman"/>
                <w:b/>
                <w:i w:val="0"/>
                <w:snapToGrid w:val="0"/>
                <w:color w:val="000000"/>
                <w:kern w:val="0"/>
                <w:sz w:val="24"/>
                <w:szCs w:val="24"/>
                <w:u w:val="none"/>
                <w:lang w:val="en-US" w:eastAsia="zh-CN" w:bidi="ar"/>
              </w:rPr>
              <w:t>1</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全省广电系统法治工作骨干培训班</w:t>
            </w:r>
          </w:p>
        </w:tc>
        <w:tc>
          <w:tcPr>
            <w:tcW w:w="23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解读最新的法律法规</w:t>
            </w:r>
            <w:r>
              <w:rPr>
                <w:rFonts w:hint="eastAsia" w:cs="Times New Roman"/>
                <w:i w:val="0"/>
                <w:snapToGrid w:val="0"/>
                <w:color w:val="000000"/>
                <w:kern w:val="0"/>
                <w:sz w:val="22"/>
                <w:szCs w:val="22"/>
                <w:u w:val="none"/>
                <w:lang w:val="en-US" w:eastAsia="zh-CN" w:bidi="ar"/>
              </w:rPr>
              <w:t>，</w:t>
            </w:r>
            <w:r>
              <w:rPr>
                <w:rFonts w:hint="default" w:ascii="Times New Roman" w:hAnsi="Times New Roman" w:eastAsia="方正仿宋_GBK" w:cs="Times New Roman"/>
                <w:i w:val="0"/>
                <w:snapToGrid w:val="0"/>
                <w:color w:val="000000"/>
                <w:kern w:val="0"/>
                <w:sz w:val="22"/>
                <w:szCs w:val="22"/>
                <w:u w:val="none"/>
                <w:lang w:val="en-US" w:eastAsia="zh-CN" w:bidi="ar"/>
              </w:rPr>
              <w:t>交流各地推进依法行政工作经验做法，进一步提升全省各级广电行政部门依法行政的能力和水平。</w:t>
            </w:r>
          </w:p>
        </w:tc>
        <w:tc>
          <w:tcPr>
            <w:tcW w:w="2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各设区市、县（市、区）文广旅局法治工作部门负责人，省局、省广电总台、省广电网络公司有关部门工作人员。</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9月</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2天</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spacing w:val="-11"/>
                <w:kern w:val="0"/>
                <w:sz w:val="22"/>
                <w:szCs w:val="22"/>
                <w:u w:val="none"/>
                <w:lang w:val="en-US" w:eastAsia="zh-CN" w:bidi="ar"/>
              </w:rPr>
              <w:t>政策法规处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60" w:hRule="atLeast"/>
          <w:jc w:val="center"/>
        </w:trPr>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eastAsia" w:ascii="Times New Roman" w:hAnsi="Times New Roman" w:eastAsia="方正仿宋_GBK" w:cs="Times New Roman"/>
                <w:i w:val="0"/>
                <w:color w:val="000000"/>
                <w:sz w:val="22"/>
                <w:szCs w:val="22"/>
                <w:u w:val="none"/>
                <w:lang w:val="en-US" w:eastAsia="zh-CN"/>
              </w:rPr>
            </w:pPr>
            <w:r>
              <w:rPr>
                <w:rFonts w:hint="eastAsia" w:cs="Times New Roman"/>
                <w:i w:val="0"/>
                <w:color w:val="000000"/>
                <w:sz w:val="22"/>
                <w:szCs w:val="22"/>
                <w:u w:val="none"/>
                <w:lang w:val="en-US" w:eastAsia="zh-CN"/>
              </w:rPr>
              <w:t>2</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全省广播电视宣传管理和节目创新创优培训班</w:t>
            </w:r>
          </w:p>
        </w:tc>
        <w:tc>
          <w:tcPr>
            <w:tcW w:w="23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spacing w:val="-11"/>
                <w:kern w:val="0"/>
                <w:sz w:val="22"/>
                <w:szCs w:val="22"/>
                <w:u w:val="none"/>
                <w:lang w:val="en-US" w:eastAsia="zh-CN" w:bidi="ar"/>
              </w:rPr>
              <w:t>聚焦学习宣传贯彻习近平新时代中国特色社会主义思想，围绕迎接宣传贯彻党的二十大这条主线，组织开展广播电视宣传管理工作政策讲座、广播电视节目创新创优发展研究等。</w:t>
            </w:r>
          </w:p>
        </w:tc>
        <w:tc>
          <w:tcPr>
            <w:tcW w:w="2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各设区市文广旅局广播电视宣传工作负责人，省、设区市、部分县级广播电视播出机构节目创新创优负责人或业务骨干，省内有代表性的纪录片制作机构、动画制作机构代表，省广电局有关人员等。</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7月</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2天</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宣传处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81" w:hRule="atLeast"/>
          <w:jc w:val="center"/>
        </w:trPr>
        <w:tc>
          <w:tcPr>
            <w:tcW w:w="775"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3</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电视剧精品创作培训班</w:t>
            </w:r>
          </w:p>
        </w:tc>
        <w:tc>
          <w:tcPr>
            <w:tcW w:w="23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习近平总书记关于文艺工作的重要讲话精神、电视剧内容管理政策法规、电视剧精品创作技能、电视剧产业和市场分析辅导。</w:t>
            </w:r>
          </w:p>
        </w:tc>
        <w:tc>
          <w:tcPr>
            <w:tcW w:w="2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省内电视剧制作单位相关创作人员（制片人、导演、编剧等）</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9月</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2天</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电视剧处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61" w:hRule="atLeast"/>
          <w:jc w:val="center"/>
        </w:trPr>
        <w:tc>
          <w:tcPr>
            <w:tcW w:w="7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b/>
                <w:i w:val="0"/>
                <w:color w:val="000000"/>
                <w:sz w:val="24"/>
                <w:szCs w:val="24"/>
                <w:u w:val="none"/>
              </w:rPr>
            </w:pPr>
            <w:r>
              <w:rPr>
                <w:rFonts w:hint="default" w:ascii="Times New Roman" w:hAnsi="Times New Roman" w:eastAsia="方正仿宋_GBK" w:cs="Times New Roman"/>
                <w:b/>
                <w:i w:val="0"/>
                <w:snapToGrid w:val="0"/>
                <w:color w:val="000000"/>
                <w:kern w:val="0"/>
                <w:sz w:val="24"/>
                <w:szCs w:val="24"/>
                <w:u w:val="none"/>
                <w:lang w:val="en-US" w:eastAsia="zh-CN" w:bidi="ar"/>
              </w:rPr>
              <w:t>4</w:t>
            </w:r>
          </w:p>
        </w:tc>
        <w:tc>
          <w:tcPr>
            <w:tcW w:w="1349" w:type="dxa"/>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全省县级广播电视节目共享平台建设培训班</w:t>
            </w:r>
          </w:p>
        </w:tc>
        <w:tc>
          <w:tcPr>
            <w:tcW w:w="23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介绍县级广播电视节目共享平台二期新系统各项功能。</w:t>
            </w:r>
          </w:p>
        </w:tc>
        <w:tc>
          <w:tcPr>
            <w:tcW w:w="2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各设区市文广旅局相关处室负责人，县级播出机构分管负责人。</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3月</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1天</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传媒机构管理处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9" w:hRule="atLeast"/>
          <w:jc w:val="center"/>
        </w:trPr>
        <w:tc>
          <w:tcPr>
            <w:tcW w:w="775" w:type="dxa"/>
            <w:tcBorders>
              <w:top w:val="single" w:color="auto"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5</w:t>
            </w:r>
          </w:p>
        </w:tc>
        <w:tc>
          <w:tcPr>
            <w:tcW w:w="1349"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网络视听重大主题创作</w:t>
            </w:r>
            <w:r>
              <w:rPr>
                <w:rFonts w:hint="default" w:ascii="Times New Roman" w:hAnsi="Times New Roman" w:eastAsia="方正仿宋_GBK" w:cs="Times New Roman"/>
                <w:i w:val="0"/>
                <w:snapToGrid w:val="0"/>
                <w:color w:val="000000"/>
                <w:spacing w:val="-11"/>
                <w:kern w:val="0"/>
                <w:sz w:val="22"/>
                <w:szCs w:val="22"/>
                <w:u w:val="none"/>
                <w:lang w:val="en-US" w:eastAsia="zh-CN" w:bidi="ar"/>
              </w:rPr>
              <w:t>（精品生产）</w:t>
            </w:r>
            <w:r>
              <w:rPr>
                <w:rFonts w:hint="default" w:ascii="Times New Roman" w:hAnsi="Times New Roman" w:eastAsia="方正仿宋_GBK" w:cs="Times New Roman"/>
                <w:i w:val="0"/>
                <w:snapToGrid w:val="0"/>
                <w:color w:val="000000"/>
                <w:kern w:val="0"/>
                <w:sz w:val="22"/>
                <w:szCs w:val="22"/>
                <w:u w:val="none"/>
                <w:lang w:val="en-US" w:eastAsia="zh-CN" w:bidi="ar"/>
              </w:rPr>
              <w:t>培训班</w:t>
            </w:r>
          </w:p>
        </w:tc>
        <w:tc>
          <w:tcPr>
            <w:tcW w:w="23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重大主题宣传与重大主题创作规划，精品生产与内容审核，重大题材创作及相关奖励政策，精品短视频创作与传播，业务交流。</w:t>
            </w:r>
          </w:p>
        </w:tc>
        <w:tc>
          <w:tcPr>
            <w:tcW w:w="24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各设区市文广旅局网络视听工作负责人，省持证网站代表，省重点网络影视剧制作机构代表，省网络视听登记备案机构代表，省直相关单位等。</w:t>
            </w:r>
          </w:p>
        </w:tc>
        <w:tc>
          <w:tcPr>
            <w:tcW w:w="9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上半年</w:t>
            </w:r>
          </w:p>
        </w:tc>
        <w:tc>
          <w:tcPr>
            <w:tcW w:w="10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2天</w:t>
            </w:r>
          </w:p>
        </w:tc>
        <w:tc>
          <w:tcPr>
            <w:tcW w:w="1246"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网络视听节目管理处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9" w:hRule="atLeast"/>
          <w:jc w:val="center"/>
        </w:trPr>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6</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spacing w:val="-17"/>
                <w:kern w:val="0"/>
                <w:sz w:val="22"/>
                <w:szCs w:val="22"/>
                <w:u w:val="none"/>
                <w:lang w:val="en-US" w:eastAsia="zh-CN" w:bidi="ar"/>
              </w:rPr>
              <w:t>全省广电媒体融合培训班</w:t>
            </w:r>
          </w:p>
        </w:tc>
        <w:tc>
          <w:tcPr>
            <w:tcW w:w="23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宣讲媒体融合相关政策，媒体融合实践经验交流。</w:t>
            </w:r>
          </w:p>
        </w:tc>
        <w:tc>
          <w:tcPr>
            <w:tcW w:w="2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snapToGrid w:val="0"/>
                <w:color w:val="000000"/>
                <w:kern w:val="0"/>
                <w:sz w:val="22"/>
                <w:szCs w:val="22"/>
                <w:u w:val="none"/>
                <w:lang w:val="en-US" w:eastAsia="zh-CN" w:bidi="ar"/>
              </w:rPr>
            </w:pPr>
            <w:r>
              <w:rPr>
                <w:rFonts w:hint="default" w:ascii="Times New Roman" w:hAnsi="Times New Roman" w:eastAsia="方正仿宋_GBK" w:cs="Times New Roman"/>
                <w:i w:val="0"/>
                <w:snapToGrid w:val="0"/>
                <w:color w:val="000000"/>
                <w:kern w:val="0"/>
                <w:sz w:val="22"/>
                <w:szCs w:val="22"/>
                <w:u w:val="none"/>
                <w:lang w:val="en-US" w:eastAsia="zh-CN" w:bidi="ar"/>
              </w:rPr>
              <w:t>省、各设区市和县（市、区）广播电视融媒体</w:t>
            </w:r>
          </w:p>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业务骨干。</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下半年</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2天</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媒体融合发展处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81" w:hRule="atLeast"/>
          <w:jc w:val="center"/>
        </w:trPr>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b/>
                <w:i w:val="0"/>
                <w:color w:val="000000"/>
                <w:sz w:val="24"/>
                <w:szCs w:val="24"/>
                <w:u w:val="none"/>
              </w:rPr>
            </w:pPr>
            <w:r>
              <w:rPr>
                <w:rFonts w:hint="default" w:ascii="Times New Roman" w:hAnsi="Times New Roman" w:eastAsia="方正仿宋_GBK" w:cs="Times New Roman"/>
                <w:b/>
                <w:i w:val="0"/>
                <w:snapToGrid w:val="0"/>
                <w:color w:val="000000"/>
                <w:kern w:val="0"/>
                <w:sz w:val="24"/>
                <w:szCs w:val="24"/>
                <w:u w:val="none"/>
                <w:lang w:val="en-US" w:eastAsia="zh-CN" w:bidi="ar"/>
              </w:rPr>
              <w:t>7</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广播电视节目录制技术培训班</w:t>
            </w:r>
          </w:p>
        </w:tc>
        <w:tc>
          <w:tcPr>
            <w:tcW w:w="23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spacing w:val="-11"/>
                <w:kern w:val="0"/>
                <w:sz w:val="22"/>
                <w:szCs w:val="22"/>
                <w:u w:val="none"/>
                <w:lang w:val="en-US" w:eastAsia="zh-CN" w:bidi="ar"/>
              </w:rPr>
              <w:t>广播电视节目录制质量奖评审标准和申报要求；如何制作高质量节目-视觉特效,环绕声、立体声节目录制；如何做好新闻节目；示波器在节目制作中的使用；节目质量奖参评节目客观测试问题分析。</w:t>
            </w:r>
          </w:p>
        </w:tc>
        <w:tc>
          <w:tcPr>
            <w:tcW w:w="2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各设区市、县级播出机构业务人员，省广电局相关人员。</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3月</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2天</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科技处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jc w:val="center"/>
        </w:trPr>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8</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全省广播电视安全保障培训班</w:t>
            </w:r>
          </w:p>
        </w:tc>
        <w:tc>
          <w:tcPr>
            <w:tcW w:w="23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安全播出、网络安全、设施保护相关政策、规范解读与宣贯、任务部署及经验交流。</w:t>
            </w:r>
          </w:p>
        </w:tc>
        <w:tc>
          <w:tcPr>
            <w:tcW w:w="2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spacing w:val="-6"/>
                <w:kern w:val="0"/>
                <w:sz w:val="22"/>
                <w:szCs w:val="22"/>
                <w:u w:val="none"/>
                <w:lang w:val="en-US" w:eastAsia="zh-CN" w:bidi="ar"/>
              </w:rPr>
              <w:t>省广电总台、省广电网络公司、各设区市文广旅局职能部门负责人，各设区市台和县（市、区）台分管领导，省广电局相关处室单位人员。</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9月</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2天</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安全传输保障处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19" w:hRule="atLeast"/>
          <w:jc w:val="center"/>
        </w:trPr>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9</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全省广电系统财务处长暨统计年报培训班</w:t>
            </w:r>
          </w:p>
        </w:tc>
        <w:tc>
          <w:tcPr>
            <w:tcW w:w="23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专项资金管理、统计法解读、统计报表制度解读、网上直报系统操作培训和工作交流。</w:t>
            </w:r>
          </w:p>
        </w:tc>
        <w:tc>
          <w:tcPr>
            <w:tcW w:w="2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spacing w:val="-17"/>
                <w:kern w:val="0"/>
                <w:sz w:val="22"/>
                <w:szCs w:val="22"/>
                <w:u w:val="none"/>
                <w:lang w:val="en-US" w:eastAsia="zh-CN" w:bidi="ar"/>
              </w:rPr>
              <w:t>各设区市局、市台财务负责人，省广电总台、省广电网络公司财务负责人和综合统计员，省广电局相关人员。</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下半年</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2天</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规划财务处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80" w:hRule="atLeast"/>
          <w:jc w:val="center"/>
        </w:trPr>
        <w:tc>
          <w:tcPr>
            <w:tcW w:w="77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b/>
                <w:i w:val="0"/>
                <w:color w:val="000000"/>
                <w:sz w:val="24"/>
                <w:szCs w:val="24"/>
                <w:u w:val="none"/>
              </w:rPr>
            </w:pPr>
            <w:r>
              <w:rPr>
                <w:rFonts w:hint="default" w:ascii="Times New Roman" w:hAnsi="Times New Roman" w:eastAsia="方正仿宋_GBK" w:cs="Times New Roman"/>
                <w:b w:val="0"/>
                <w:bCs/>
                <w:i w:val="0"/>
                <w:snapToGrid w:val="0"/>
                <w:color w:val="000000"/>
                <w:kern w:val="0"/>
                <w:sz w:val="24"/>
                <w:szCs w:val="24"/>
                <w:u w:val="none"/>
                <w:lang w:val="en-US" w:eastAsia="zh-CN" w:bidi="ar"/>
              </w:rPr>
              <w:t>10</w:t>
            </w:r>
          </w:p>
        </w:tc>
        <w:tc>
          <w:tcPr>
            <w:tcW w:w="1349"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全省广播电视高质量发展研修班</w:t>
            </w:r>
          </w:p>
        </w:tc>
        <w:tc>
          <w:tcPr>
            <w:tcW w:w="237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深入学习贯彻习近平新时代中国特色社会主义思想和党的二十大会议精神，学习贯彻全国全省宣传思想工作精神，针对省市县广播电视改革发展新情况新定位新要求，加强广播电视主流媒体阵地建设，强化网络视听新媒体管理，推动全省广播电视事业产业优化升级、高质量发展。</w:t>
            </w:r>
          </w:p>
        </w:tc>
        <w:tc>
          <w:tcPr>
            <w:tcW w:w="248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省广电总台、省广电网络公司负责人，各设区市、县（市、区）文广旅局和广播电视台主要负责人、部分广播电视节目制作单位、网络视听机构主要负责人等。</w:t>
            </w:r>
          </w:p>
        </w:tc>
        <w:tc>
          <w:tcPr>
            <w:tcW w:w="978"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10月</w:t>
            </w:r>
          </w:p>
        </w:tc>
        <w:tc>
          <w:tcPr>
            <w:tcW w:w="1077"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2天</w:t>
            </w:r>
          </w:p>
        </w:tc>
        <w:tc>
          <w:tcPr>
            <w:tcW w:w="124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人事处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11</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全省广播电视监测网技术维护管理工作培训班</w:t>
            </w:r>
          </w:p>
        </w:tc>
        <w:tc>
          <w:tcPr>
            <w:tcW w:w="23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广播电视监测网技术维护情况年度总结及广播电视行业新技术交流。</w:t>
            </w:r>
          </w:p>
        </w:tc>
        <w:tc>
          <w:tcPr>
            <w:tcW w:w="2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各设区市、各广播电视监测站监测前端监测网技术维护管理工作负责人。</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11月</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2天</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color w:val="000000"/>
                <w:sz w:val="22"/>
                <w:szCs w:val="22"/>
                <w:u w:val="none"/>
              </w:rPr>
            </w:pPr>
            <w:r>
              <w:rPr>
                <w:rFonts w:hint="default" w:ascii="Times New Roman" w:hAnsi="Times New Roman" w:eastAsia="方正仿宋_GBK" w:cs="Times New Roman"/>
                <w:i w:val="0"/>
                <w:snapToGrid w:val="0"/>
                <w:color w:val="000000"/>
                <w:kern w:val="0"/>
                <w:sz w:val="22"/>
                <w:szCs w:val="22"/>
                <w:u w:val="none"/>
                <w:lang w:val="en-US" w:eastAsia="zh-CN" w:bidi="ar"/>
              </w:rPr>
              <w:t>监测台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宋体" w:cs="Times New Roman"/>
                <w:i w:val="0"/>
                <w:snapToGrid w:val="0"/>
                <w:color w:val="000000"/>
                <w:sz w:val="22"/>
                <w:szCs w:val="22"/>
                <w:u w:val="none"/>
                <w:lang w:val="en-US" w:eastAsia="zh-CN" w:bidi="ar-SA"/>
              </w:rPr>
            </w:pPr>
            <w:r>
              <w:rPr>
                <w:rFonts w:hint="default" w:ascii="Times New Roman" w:hAnsi="Times New Roman" w:eastAsia="宋体" w:cs="Times New Roman"/>
                <w:i w:val="0"/>
                <w:snapToGrid w:val="0"/>
                <w:color w:val="000000"/>
                <w:kern w:val="0"/>
                <w:sz w:val="22"/>
                <w:szCs w:val="22"/>
                <w:u w:val="none"/>
                <w:lang w:val="en-US" w:eastAsia="zh-CN" w:bidi="ar"/>
              </w:rPr>
              <w:t>12</w:t>
            </w:r>
          </w:p>
        </w:tc>
        <w:tc>
          <w:tcPr>
            <w:tcW w:w="13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snapToGrid w:val="0"/>
                <w:color w:val="000000"/>
                <w:kern w:val="0"/>
                <w:sz w:val="22"/>
                <w:szCs w:val="22"/>
                <w:u w:val="none"/>
                <w:lang w:val="en-US" w:eastAsia="zh-CN" w:bidi="ar"/>
              </w:rPr>
            </w:pPr>
            <w:r>
              <w:rPr>
                <w:rFonts w:hint="eastAsia" w:ascii="Times New Roman" w:hAnsi="Times New Roman" w:eastAsia="方正仿宋_GBK" w:cs="Times New Roman"/>
                <w:i w:val="0"/>
                <w:snapToGrid w:val="0"/>
                <w:color w:val="000000"/>
                <w:kern w:val="0"/>
                <w:sz w:val="22"/>
                <w:szCs w:val="22"/>
                <w:u w:val="none"/>
                <w:lang w:val="en-US" w:eastAsia="zh-CN" w:bidi="ar"/>
              </w:rPr>
              <w:t>收听收看专家培训班</w:t>
            </w:r>
          </w:p>
        </w:tc>
        <w:tc>
          <w:tcPr>
            <w:tcW w:w="23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snapToGrid w:val="0"/>
                <w:color w:val="000000"/>
                <w:kern w:val="0"/>
                <w:sz w:val="22"/>
                <w:szCs w:val="22"/>
                <w:u w:val="none"/>
                <w:lang w:val="en-US" w:eastAsia="zh-CN" w:bidi="ar"/>
              </w:rPr>
            </w:pPr>
            <w:r>
              <w:rPr>
                <w:rFonts w:hint="eastAsia" w:ascii="Times New Roman" w:hAnsi="Times New Roman" w:eastAsia="方正仿宋_GBK" w:cs="Times New Roman"/>
                <w:i w:val="0"/>
                <w:snapToGrid w:val="0"/>
                <w:color w:val="000000"/>
                <w:kern w:val="0"/>
                <w:sz w:val="22"/>
                <w:szCs w:val="22"/>
                <w:u w:val="none"/>
                <w:lang w:val="en-US" w:eastAsia="zh-CN" w:bidi="ar"/>
              </w:rPr>
              <w:t>学习贯彻党的二十大精神，传达学习总局宣传管理要求，总结交流年度工作。</w:t>
            </w:r>
          </w:p>
        </w:tc>
        <w:tc>
          <w:tcPr>
            <w:tcW w:w="2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snapToGrid w:val="0"/>
                <w:color w:val="000000"/>
                <w:kern w:val="0"/>
                <w:sz w:val="22"/>
                <w:szCs w:val="22"/>
                <w:u w:val="none"/>
                <w:lang w:val="en-US" w:eastAsia="zh-CN" w:bidi="ar"/>
              </w:rPr>
            </w:pPr>
            <w:r>
              <w:rPr>
                <w:rFonts w:hint="eastAsia" w:ascii="Times New Roman" w:hAnsi="Times New Roman" w:eastAsia="方正仿宋_GBK" w:cs="Times New Roman"/>
                <w:i w:val="0"/>
                <w:snapToGrid w:val="0"/>
                <w:color w:val="000000"/>
                <w:kern w:val="0"/>
                <w:sz w:val="22"/>
                <w:szCs w:val="22"/>
                <w:u w:val="none"/>
                <w:lang w:val="en-US" w:eastAsia="zh-CN" w:bidi="ar"/>
              </w:rPr>
              <w:t>收听收看专家，收听收看中心工作人员。</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snapToGrid w:val="0"/>
                <w:color w:val="000000"/>
                <w:kern w:val="0"/>
                <w:sz w:val="22"/>
                <w:szCs w:val="22"/>
                <w:u w:val="none"/>
                <w:lang w:val="en-US" w:eastAsia="zh-CN" w:bidi="ar"/>
              </w:rPr>
            </w:pPr>
            <w:r>
              <w:rPr>
                <w:rFonts w:hint="eastAsia" w:ascii="Times New Roman" w:hAnsi="Times New Roman" w:eastAsia="方正仿宋_GBK" w:cs="Times New Roman"/>
                <w:i w:val="0"/>
                <w:snapToGrid w:val="0"/>
                <w:color w:val="000000"/>
                <w:kern w:val="0"/>
                <w:sz w:val="22"/>
                <w:szCs w:val="22"/>
                <w:u w:val="none"/>
                <w:lang w:val="en-US" w:eastAsia="zh-CN" w:bidi="ar"/>
              </w:rPr>
              <w:t>11月</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snapToGrid w:val="0"/>
                <w:color w:val="000000"/>
                <w:kern w:val="0"/>
                <w:sz w:val="22"/>
                <w:szCs w:val="22"/>
                <w:u w:val="none"/>
                <w:lang w:val="en-US" w:eastAsia="zh-CN" w:bidi="ar"/>
              </w:rPr>
            </w:pPr>
            <w:r>
              <w:rPr>
                <w:rFonts w:hint="eastAsia" w:ascii="Times New Roman" w:hAnsi="Times New Roman" w:eastAsia="方正仿宋_GBK" w:cs="Times New Roman"/>
                <w:i w:val="0"/>
                <w:snapToGrid w:val="0"/>
                <w:color w:val="000000"/>
                <w:kern w:val="0"/>
                <w:sz w:val="22"/>
                <w:szCs w:val="22"/>
                <w:u w:val="none"/>
                <w:lang w:val="en-US" w:eastAsia="zh-CN" w:bidi="ar"/>
              </w:rPr>
              <w:t>2天</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val="0"/>
              <w:autoSpaceDN w:val="0"/>
              <w:bidi w:val="0"/>
              <w:adjustRightInd/>
              <w:snapToGrid w:val="0"/>
              <w:spacing w:line="360" w:lineRule="exact"/>
              <w:ind w:left="0" w:leftChars="0" w:firstLine="0" w:firstLineChars="0"/>
              <w:jc w:val="center"/>
              <w:textAlignment w:val="center"/>
              <w:rPr>
                <w:rFonts w:hint="default" w:ascii="Times New Roman" w:hAnsi="Times New Roman" w:eastAsia="方正仿宋_GBK" w:cs="Times New Roman"/>
                <w:i w:val="0"/>
                <w:snapToGrid w:val="0"/>
                <w:color w:val="000000"/>
                <w:kern w:val="0"/>
                <w:sz w:val="22"/>
                <w:szCs w:val="22"/>
                <w:u w:val="none"/>
                <w:lang w:val="en-US" w:eastAsia="zh-CN" w:bidi="ar"/>
              </w:rPr>
            </w:pPr>
            <w:r>
              <w:rPr>
                <w:rFonts w:hint="eastAsia" w:ascii="Times New Roman" w:hAnsi="Times New Roman" w:eastAsia="方正仿宋_GBK" w:cs="Times New Roman"/>
                <w:i w:val="0"/>
                <w:snapToGrid w:val="0"/>
                <w:color w:val="000000"/>
                <w:kern w:val="0"/>
                <w:sz w:val="22"/>
                <w:szCs w:val="22"/>
                <w:u w:val="none"/>
                <w:lang w:val="en-US" w:eastAsia="zh-CN" w:bidi="ar"/>
              </w:rPr>
              <w:t>收听收看中心</w:t>
            </w:r>
          </w:p>
        </w:tc>
      </w:tr>
    </w:tbl>
    <w:p>
      <w:pPr>
        <w:pStyle w:val="23"/>
        <w:snapToGrid w:val="0"/>
        <w:spacing w:line="100" w:lineRule="atLeast"/>
        <w:ind w:left="-57" w:right="-57"/>
        <w:jc w:val="both"/>
        <w:rPr>
          <w:rFonts w:hint="eastAsia"/>
          <w:sz w:val="28"/>
          <w:szCs w:val="28"/>
        </w:rPr>
      </w:pPr>
    </w:p>
    <w:p>
      <w:pPr>
        <w:pStyle w:val="23"/>
        <w:snapToGrid w:val="0"/>
        <w:spacing w:line="100" w:lineRule="atLeast"/>
        <w:ind w:left="-57" w:right="-57"/>
        <w:jc w:val="both"/>
        <w:rPr>
          <w:rFonts w:hint="eastAsia"/>
          <w:sz w:val="28"/>
          <w:szCs w:val="28"/>
        </w:rPr>
      </w:pPr>
    </w:p>
    <w:p>
      <w:pPr>
        <w:pStyle w:val="23"/>
        <w:snapToGrid w:val="0"/>
        <w:spacing w:line="100" w:lineRule="atLeast"/>
        <w:ind w:left="-57" w:right="-57"/>
        <w:jc w:val="both"/>
        <w:rPr>
          <w:rFonts w:hint="eastAsia"/>
          <w:sz w:val="28"/>
          <w:szCs w:val="28"/>
        </w:rPr>
      </w:pPr>
    </w:p>
    <w:p>
      <w:pPr>
        <w:pStyle w:val="23"/>
        <w:snapToGrid w:val="0"/>
        <w:spacing w:line="100" w:lineRule="atLeast"/>
        <w:ind w:right="-57"/>
        <w:jc w:val="both"/>
        <w:rPr>
          <w:rFonts w:hint="eastAsia"/>
          <w:sz w:val="28"/>
          <w:szCs w:val="28"/>
        </w:rPr>
      </w:pPr>
    </w:p>
    <w:sectPr>
      <w:footerReference r:id="rId3" w:type="default"/>
      <w:footerReference r:id="rId4" w:type="even"/>
      <w:pgSz w:w="11906" w:h="16838"/>
      <w:pgMar w:top="1814" w:right="1531" w:bottom="1985" w:left="1531" w:header="720" w:footer="1474" w:gutter="0"/>
      <w:paperSrc w:first="15" w:other="15"/>
      <w:cols w:space="0" w:num="1"/>
      <w:rtlGutter w:val="0"/>
      <w:docGrid w:type="linesAndChars" w:linePitch="631"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170" w:right="170" w:firstLine="0"/>
      <w:jc w:val="right"/>
      <w:rPr>
        <w:rStyle w:val="10"/>
        <w:sz w:val="28"/>
        <w:szCs w:val="28"/>
      </w:rPr>
    </w:pPr>
    <w:r>
      <w:rPr>
        <w:rStyle w:val="10"/>
        <w:rFonts w:hint="eastAsia"/>
        <w:sz w:val="28"/>
        <w:szCs w:val="28"/>
      </w:rPr>
      <w:t xml:space="preserve">― </w:t>
    </w:r>
    <w:r>
      <w:rPr>
        <w:rStyle w:val="10"/>
        <w:sz w:val="28"/>
        <w:szCs w:val="28"/>
      </w:rPr>
      <w:fldChar w:fldCharType="begin"/>
    </w:r>
    <w:r>
      <w:rPr>
        <w:rStyle w:val="10"/>
        <w:sz w:val="28"/>
        <w:szCs w:val="28"/>
      </w:rPr>
      <w:instrText xml:space="preserve"> PAGE </w:instrText>
    </w:r>
    <w:r>
      <w:rPr>
        <w:rStyle w:val="10"/>
        <w:sz w:val="28"/>
        <w:szCs w:val="28"/>
      </w:rPr>
      <w:fldChar w:fldCharType="separate"/>
    </w:r>
    <w:r>
      <w:rPr>
        <w:rStyle w:val="10"/>
        <w:sz w:val="28"/>
        <w:szCs w:val="28"/>
      </w:rPr>
      <w:t>1</w:t>
    </w:r>
    <w:r>
      <w:rPr>
        <w:rStyle w:val="10"/>
        <w:sz w:val="28"/>
        <w:szCs w:val="28"/>
      </w:rPr>
      <w:fldChar w:fldCharType="end"/>
    </w:r>
    <w:r>
      <w:rPr>
        <w:rStyle w:val="10"/>
        <w:rFonts w:hint="eastAsia"/>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170" w:right="170" w:firstLine="0"/>
    </w:pPr>
    <w:r>
      <w:rPr>
        <w:rStyle w:val="10"/>
        <w:rFonts w:hint="eastAsia"/>
        <w:sz w:val="28"/>
        <w:szCs w:val="28"/>
      </w:rPr>
      <w:t xml:space="preserve">― </w:t>
    </w:r>
    <w:r>
      <w:rPr>
        <w:rStyle w:val="10"/>
        <w:sz w:val="28"/>
        <w:szCs w:val="28"/>
      </w:rPr>
      <w:fldChar w:fldCharType="begin"/>
    </w:r>
    <w:r>
      <w:rPr>
        <w:rStyle w:val="10"/>
        <w:sz w:val="28"/>
        <w:szCs w:val="28"/>
      </w:rPr>
      <w:instrText xml:space="preserve">PAGE   \* MERGEFORMAT</w:instrText>
    </w:r>
    <w:r>
      <w:rPr>
        <w:rStyle w:val="10"/>
        <w:sz w:val="28"/>
        <w:szCs w:val="28"/>
      </w:rPr>
      <w:fldChar w:fldCharType="separate"/>
    </w:r>
    <w:r>
      <w:rPr>
        <w:rStyle w:val="10"/>
        <w:sz w:val="28"/>
        <w:szCs w:val="28"/>
      </w:rPr>
      <w:t>2</w:t>
    </w:r>
    <w:r>
      <w:rPr>
        <w:rStyle w:val="10"/>
        <w:sz w:val="28"/>
        <w:szCs w:val="28"/>
      </w:rPr>
      <w:fldChar w:fldCharType="end"/>
    </w:r>
    <w:r>
      <w:rPr>
        <w:rStyle w:val="10"/>
        <w:rFonts w:hint="eastAsia"/>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0"/>
  <w:evenAndOddHeaders w:val="1"/>
  <w:drawingGridHorizontalSpacing w:val="158"/>
  <w:drawingGridVerticalSpacing w:val="315"/>
  <w:displayHorizontalDrawingGridEvery w:val="2"/>
  <w:displayVerticalDrawingGridEvery w:val="2"/>
  <w:noPunctuationKerning w:val="1"/>
  <w:characterSpacingControl w:val="compressPunctuation"/>
  <w:noLineBreaksAfter w:lang="zh-CN" w:val="([{·‘“〈《「『【〔〖（．［｛￡￥"/>
  <w:noLineBreaksBefore w:lang="zh-CN" w:val="!),.:;?]}¨·ˇˉ―‖’”…∶、。〃々〉》」』】〕〗！＂％＇），．：；？］｀｜｝～￠"/>
  <w:compat>
    <w:spaceForUL/>
    <w:balanceSingleByteDoubleByteWidth/>
    <w:doNotLeaveBackslashAlone/>
    <w:ulTrailSpace/>
    <w:doNotExpandShiftReturn/>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B7D521A2"/>
    <w:rsid w:val="00011B29"/>
    <w:rsid w:val="00016F42"/>
    <w:rsid w:val="00043560"/>
    <w:rsid w:val="0004771A"/>
    <w:rsid w:val="00071010"/>
    <w:rsid w:val="00082D83"/>
    <w:rsid w:val="000A119A"/>
    <w:rsid w:val="001212F3"/>
    <w:rsid w:val="00195BFC"/>
    <w:rsid w:val="0019661B"/>
    <w:rsid w:val="001B0331"/>
    <w:rsid w:val="001C3D0D"/>
    <w:rsid w:val="0025116B"/>
    <w:rsid w:val="002538FD"/>
    <w:rsid w:val="002C208E"/>
    <w:rsid w:val="002E18B2"/>
    <w:rsid w:val="003231AB"/>
    <w:rsid w:val="0037051D"/>
    <w:rsid w:val="003E223A"/>
    <w:rsid w:val="00415BF8"/>
    <w:rsid w:val="00426549"/>
    <w:rsid w:val="00450943"/>
    <w:rsid w:val="00462232"/>
    <w:rsid w:val="0046684C"/>
    <w:rsid w:val="00471F89"/>
    <w:rsid w:val="00483F51"/>
    <w:rsid w:val="00535D46"/>
    <w:rsid w:val="00563F33"/>
    <w:rsid w:val="005C2B1B"/>
    <w:rsid w:val="005D19D5"/>
    <w:rsid w:val="00640541"/>
    <w:rsid w:val="006525EC"/>
    <w:rsid w:val="00670113"/>
    <w:rsid w:val="006754DF"/>
    <w:rsid w:val="00693ACA"/>
    <w:rsid w:val="006B5B4F"/>
    <w:rsid w:val="006D6590"/>
    <w:rsid w:val="006E7C70"/>
    <w:rsid w:val="0071654E"/>
    <w:rsid w:val="007233C9"/>
    <w:rsid w:val="00727CA4"/>
    <w:rsid w:val="00770166"/>
    <w:rsid w:val="007745EE"/>
    <w:rsid w:val="007B0DD0"/>
    <w:rsid w:val="007E49BA"/>
    <w:rsid w:val="007F4609"/>
    <w:rsid w:val="00800328"/>
    <w:rsid w:val="008177D7"/>
    <w:rsid w:val="008307D0"/>
    <w:rsid w:val="008A6505"/>
    <w:rsid w:val="008E09BB"/>
    <w:rsid w:val="008F7AC3"/>
    <w:rsid w:val="00913C0A"/>
    <w:rsid w:val="009551BD"/>
    <w:rsid w:val="0096698D"/>
    <w:rsid w:val="0098254F"/>
    <w:rsid w:val="009B2A49"/>
    <w:rsid w:val="00A053ED"/>
    <w:rsid w:val="00A1786A"/>
    <w:rsid w:val="00A5106A"/>
    <w:rsid w:val="00A80267"/>
    <w:rsid w:val="00AE1584"/>
    <w:rsid w:val="00AF5B7D"/>
    <w:rsid w:val="00B1715D"/>
    <w:rsid w:val="00B3032E"/>
    <w:rsid w:val="00B3539A"/>
    <w:rsid w:val="00B427AC"/>
    <w:rsid w:val="00B77F4C"/>
    <w:rsid w:val="00BC2460"/>
    <w:rsid w:val="00BD28F8"/>
    <w:rsid w:val="00BD7008"/>
    <w:rsid w:val="00BF0C87"/>
    <w:rsid w:val="00C52E51"/>
    <w:rsid w:val="00CA3A3C"/>
    <w:rsid w:val="00CA7899"/>
    <w:rsid w:val="00D233F9"/>
    <w:rsid w:val="00D60F97"/>
    <w:rsid w:val="00D6317A"/>
    <w:rsid w:val="00D663AB"/>
    <w:rsid w:val="00D92240"/>
    <w:rsid w:val="00DC2E26"/>
    <w:rsid w:val="00DC36DA"/>
    <w:rsid w:val="00E0050C"/>
    <w:rsid w:val="00E450C2"/>
    <w:rsid w:val="00E51BB2"/>
    <w:rsid w:val="00E873D4"/>
    <w:rsid w:val="00ED0C63"/>
    <w:rsid w:val="00EE4D9C"/>
    <w:rsid w:val="00EE7FDE"/>
    <w:rsid w:val="00F07255"/>
    <w:rsid w:val="00F41916"/>
    <w:rsid w:val="00F43E95"/>
    <w:rsid w:val="00F75F92"/>
    <w:rsid w:val="00FC205D"/>
    <w:rsid w:val="00FD2B04"/>
    <w:rsid w:val="00FE1A2F"/>
    <w:rsid w:val="059241D0"/>
    <w:rsid w:val="0DEFD4EF"/>
    <w:rsid w:val="6E7F2598"/>
    <w:rsid w:val="9EFD2B4B"/>
    <w:rsid w:val="B7D521A2"/>
    <w:rsid w:val="D8D795E1"/>
    <w:rsid w:val="E9FF3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Balloon Text"/>
    <w:basedOn w:val="1"/>
    <w:link w:val="27"/>
    <w:qFormat/>
    <w:uiPriority w:val="0"/>
    <w:pPr>
      <w:spacing w:line="240" w:lineRule="auto"/>
    </w:pPr>
    <w:rPr>
      <w:sz w:val="18"/>
      <w:szCs w:val="18"/>
    </w:rPr>
  </w:style>
  <w:style w:type="paragraph" w:styleId="5">
    <w:name w:val="footer"/>
    <w:basedOn w:val="1"/>
    <w:link w:val="26"/>
    <w:qFormat/>
    <w:uiPriority w:val="99"/>
    <w:pPr>
      <w:tabs>
        <w:tab w:val="center" w:pos="4153"/>
        <w:tab w:val="right" w:pos="8306"/>
      </w:tabs>
      <w:spacing w:line="240" w:lineRule="atLeast"/>
      <w:jc w:val="left"/>
    </w:pPr>
    <w:rPr>
      <w:sz w:val="18"/>
    </w:rPr>
  </w:style>
  <w:style w:type="paragraph" w:styleId="6">
    <w:name w:val="header"/>
    <w:basedOn w:val="1"/>
    <w:qFormat/>
    <w:uiPriority w:val="0"/>
    <w:pPr>
      <w:pBdr>
        <w:bottom w:val="single" w:color="auto" w:sz="6" w:space="1"/>
      </w:pBdr>
      <w:tabs>
        <w:tab w:val="center" w:pos="4153"/>
        <w:tab w:val="right" w:pos="8306"/>
      </w:tabs>
      <w:spacing w:line="240" w:lineRule="atLeast"/>
      <w:jc w:val="center"/>
    </w:pPr>
    <w:rPr>
      <w:sz w:val="18"/>
    </w:rPr>
  </w:style>
  <w:style w:type="table" w:styleId="8">
    <w:name w:val="Table Grid"/>
    <w:basedOn w:val="7"/>
    <w:qFormat/>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qFormat/>
    <w:uiPriority w:val="0"/>
  </w:style>
  <w:style w:type="paragraph" w:customStyle="1" w:styleId="11">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2">
    <w:name w:val="主题词"/>
    <w:basedOn w:val="1"/>
    <w:qFormat/>
    <w:uiPriority w:val="0"/>
    <w:pPr>
      <w:overflowPunct w:val="0"/>
      <w:spacing w:line="400" w:lineRule="atLeast"/>
      <w:ind w:firstLine="0"/>
    </w:pPr>
    <w:rPr>
      <w:rFonts w:ascii="方正黑体_GBK" w:eastAsia="方正黑体_GBK"/>
    </w:rPr>
  </w:style>
  <w:style w:type="paragraph" w:customStyle="1" w:styleId="13">
    <w:name w:val="抄送栏"/>
    <w:basedOn w:val="1"/>
    <w:qFormat/>
    <w:uiPriority w:val="0"/>
    <w:pPr>
      <w:spacing w:line="454" w:lineRule="atLeast"/>
      <w:ind w:left="1310" w:right="357" w:hanging="953"/>
    </w:pPr>
  </w:style>
  <w:style w:type="paragraph" w:customStyle="1" w:styleId="14">
    <w:name w:val="标题2"/>
    <w:basedOn w:val="1"/>
    <w:next w:val="1"/>
    <w:qFormat/>
    <w:uiPriority w:val="0"/>
    <w:pPr>
      <w:ind w:firstLine="0"/>
      <w:jc w:val="center"/>
    </w:pPr>
    <w:rPr>
      <w:rFonts w:eastAsia="方正楷体_GBK"/>
    </w:rPr>
  </w:style>
  <w:style w:type="paragraph" w:customStyle="1" w:styleId="15">
    <w:name w:val="标题3"/>
    <w:basedOn w:val="1"/>
    <w:next w:val="1"/>
    <w:qFormat/>
    <w:uiPriority w:val="0"/>
    <w:rPr>
      <w:rFonts w:eastAsia="方正黑体_GBK"/>
    </w:rPr>
  </w:style>
  <w:style w:type="paragraph" w:customStyle="1" w:styleId="16">
    <w:name w:val="印发栏"/>
    <w:basedOn w:val="1"/>
    <w:qFormat/>
    <w:uiPriority w:val="0"/>
    <w:pPr>
      <w:tabs>
        <w:tab w:val="right" w:pos="8505"/>
      </w:tabs>
      <w:snapToGrid/>
      <w:spacing w:line="454" w:lineRule="atLeast"/>
      <w:ind w:left="357" w:right="357" w:firstLine="0"/>
    </w:pPr>
  </w:style>
  <w:style w:type="paragraph" w:customStyle="1" w:styleId="17">
    <w:name w:val="反线"/>
    <w:basedOn w:val="1"/>
    <w:qFormat/>
    <w:uiPriority w:val="0"/>
    <w:pPr>
      <w:spacing w:line="120" w:lineRule="atLeast"/>
      <w:ind w:left="-57" w:right="-57" w:firstLine="0"/>
    </w:pPr>
    <w:rPr>
      <w:b/>
    </w:rPr>
  </w:style>
  <w:style w:type="paragraph" w:customStyle="1" w:styleId="18">
    <w:name w:val="份数"/>
    <w:basedOn w:val="1"/>
    <w:qFormat/>
    <w:uiPriority w:val="0"/>
    <w:pPr>
      <w:spacing w:line="400" w:lineRule="atLeast"/>
      <w:ind w:firstLine="0"/>
      <w:jc w:val="right"/>
    </w:pPr>
  </w:style>
  <w:style w:type="paragraph" w:customStyle="1" w:styleId="19">
    <w:name w:val="附件栏"/>
    <w:basedOn w:val="1"/>
    <w:qFormat/>
    <w:uiPriority w:val="0"/>
  </w:style>
  <w:style w:type="paragraph" w:customStyle="1" w:styleId="20">
    <w:name w:val="文头"/>
    <w:basedOn w:val="1"/>
    <w:qFormat/>
    <w:uiPriority w:val="0"/>
    <w:pPr>
      <w:tabs>
        <w:tab w:val="left" w:pos="6663"/>
      </w:tabs>
      <w:spacing w:after="1000" w:line="3100" w:lineRule="atLeast"/>
      <w:ind w:left="511" w:right="227" w:hanging="284"/>
      <w:jc w:val="distribute"/>
    </w:pPr>
    <w:rPr>
      <w:rFonts w:ascii="汉鼎简大宋" w:eastAsia="汉鼎简大宋"/>
      <w:b/>
      <w:color w:val="FF0000"/>
      <w:w w:val="62"/>
      <w:sz w:val="140"/>
    </w:rPr>
  </w:style>
  <w:style w:type="paragraph" w:customStyle="1" w:styleId="21">
    <w:name w:val="紧急程度"/>
    <w:basedOn w:val="1"/>
    <w:qFormat/>
    <w:uiPriority w:val="0"/>
    <w:pPr>
      <w:adjustRightInd w:val="0"/>
      <w:snapToGrid/>
      <w:spacing w:line="500" w:lineRule="atLeast"/>
      <w:ind w:firstLine="0"/>
      <w:jc w:val="right"/>
    </w:pPr>
    <w:rPr>
      <w:rFonts w:ascii="方正黑体_GBK" w:eastAsia="方正黑体_GBK"/>
    </w:rPr>
  </w:style>
  <w:style w:type="paragraph" w:customStyle="1" w:styleId="22">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3">
    <w:name w:val="线型"/>
    <w:basedOn w:val="13"/>
    <w:qFormat/>
    <w:uiPriority w:val="0"/>
    <w:pPr>
      <w:adjustRightInd w:val="0"/>
      <w:snapToGrid/>
      <w:spacing w:line="240" w:lineRule="auto"/>
      <w:ind w:left="0" w:firstLine="0"/>
      <w:jc w:val="center"/>
    </w:pPr>
    <w:rPr>
      <w:sz w:val="21"/>
    </w:rPr>
  </w:style>
  <w:style w:type="paragraph" w:customStyle="1" w:styleId="24">
    <w:name w:val="印数"/>
    <w:basedOn w:val="16"/>
    <w:qFormat/>
    <w:uiPriority w:val="0"/>
    <w:pPr>
      <w:tabs>
        <w:tab w:val="right" w:pos="8465"/>
        <w:tab w:val="clear" w:pos="8505"/>
      </w:tabs>
      <w:adjustRightInd w:val="0"/>
      <w:spacing w:line="400" w:lineRule="atLeast"/>
      <w:ind w:left="0" w:right="0"/>
      <w:jc w:val="right"/>
    </w:pPr>
  </w:style>
  <w:style w:type="paragraph" w:customStyle="1" w:styleId="25">
    <w:name w:val="样式 主题词 + 段后: 8.85 磅 行距: 固定值 26 磅"/>
    <w:basedOn w:val="12"/>
    <w:qFormat/>
    <w:uiPriority w:val="0"/>
    <w:pPr>
      <w:overflowPunct/>
      <w:adjustRightInd w:val="0"/>
      <w:snapToGrid/>
      <w:spacing w:after="177" w:line="520" w:lineRule="exact"/>
      <w:jc w:val="left"/>
    </w:pPr>
    <w:rPr>
      <w:rFonts w:cs="宋体"/>
      <w:bCs/>
    </w:rPr>
  </w:style>
  <w:style w:type="character" w:customStyle="1" w:styleId="26">
    <w:name w:val="页脚 Char"/>
    <w:link w:val="5"/>
    <w:qFormat/>
    <w:uiPriority w:val="99"/>
    <w:rPr>
      <w:rFonts w:eastAsia="方正仿宋_GBK"/>
      <w:snapToGrid w:val="0"/>
      <w:sz w:val="18"/>
    </w:rPr>
  </w:style>
  <w:style w:type="character" w:customStyle="1" w:styleId="27">
    <w:name w:val="批注框文本 Char"/>
    <w:basedOn w:val="9"/>
    <w:link w:val="4"/>
    <w:qFormat/>
    <w:uiPriority w:val="0"/>
    <w:rPr>
      <w:rFonts w:eastAsia="方正仿宋_GBK"/>
      <w:snapToGrid w:val="0"/>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home\kylin\&#26700;&#38754;\&#27169;&#26495;\&#24120;&#29992;\&#33487;&#24191;&#30005;&#21457;2022&#32440;&#36136;&#29256;.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苏广电发2022纸质版.dotx</Template>
  <Pages>2</Pages>
  <Words>101</Words>
  <Characters>112</Characters>
  <Lines>1</Lines>
  <Paragraphs>1</Paragraphs>
  <TotalTime>13</TotalTime>
  <ScaleCrop>false</ScaleCrop>
  <LinksUpToDate>false</LinksUpToDate>
  <CharactersWithSpaces>128</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2022-03-14T14:45:00Z</dcterms:created>
  <dc:creator>kylin</dc:creator>
  <cp:lastModifiedBy>仇乐</cp:lastModifiedBy>
  <cp:lastPrinted>2022-03-14T15:13:00Z</cp:lastPrinted>
  <dcterms:modified xsi:type="dcterms:W3CDTF">2022-03-14T09:08:53Z</dcterms:modified>
  <dc:title>苏政发上行文</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