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附件1</w:t>
      </w:r>
    </w:p>
    <w:p>
      <w:pPr>
        <w:keepNext w:val="0"/>
        <w:keepLines w:val="0"/>
        <w:pageBreakBefore w:val="0"/>
        <w:widowControl/>
        <w:kinsoku/>
        <w:wordWrap/>
        <w:overflowPunct/>
        <w:topLinePunct w:val="0"/>
        <w:autoSpaceDE/>
        <w:autoSpaceDN/>
        <w:bidi w:val="0"/>
        <w:adjustRightInd/>
        <w:snapToGrid/>
        <w:spacing w:line="640" w:lineRule="exact"/>
        <w:ind w:firstLine="539"/>
        <w:jc w:val="center"/>
        <w:textAlignment w:val="auto"/>
        <w:rPr>
          <w:rFonts w:hint="eastAsia" w:ascii="方正小标宋_GBK" w:hAnsi="方正小标宋_GBK" w:eastAsia="方正小标宋_GBK" w:cs="方正小标宋_GBK"/>
          <w:spacing w:val="-12"/>
          <w:sz w:val="44"/>
          <w:szCs w:val="44"/>
        </w:rPr>
      </w:pPr>
    </w:p>
    <w:p>
      <w:pPr>
        <w:keepNext w:val="0"/>
        <w:keepLines w:val="0"/>
        <w:pageBreakBefore w:val="0"/>
        <w:widowControl/>
        <w:kinsoku/>
        <w:wordWrap/>
        <w:overflowPunct/>
        <w:topLinePunct w:val="0"/>
        <w:autoSpaceDE/>
        <w:autoSpaceDN/>
        <w:bidi w:val="0"/>
        <w:adjustRightInd/>
        <w:snapToGrid/>
        <w:spacing w:line="640" w:lineRule="exact"/>
        <w:ind w:firstLine="539"/>
        <w:jc w:val="center"/>
        <w:textAlignment w:val="auto"/>
        <w:rPr>
          <w:rFonts w:hint="eastAsia" w:ascii="方正小标宋_GBK" w:hAnsi="方正小标宋_GBK" w:eastAsia="方正小标宋_GBK" w:cs="方正小标宋_GBK"/>
          <w:spacing w:val="-12"/>
          <w:sz w:val="44"/>
          <w:szCs w:val="44"/>
        </w:rPr>
      </w:pPr>
      <w:r>
        <w:rPr>
          <w:rFonts w:hint="eastAsia" w:ascii="方正小标宋_GBK" w:hAnsi="方正小标宋_GBK" w:eastAsia="方正小标宋_GBK" w:cs="方正小标宋_GBK"/>
          <w:spacing w:val="-12"/>
          <w:sz w:val="44"/>
          <w:szCs w:val="44"/>
        </w:rPr>
        <w:t>联合行动主题清单</w:t>
      </w:r>
    </w:p>
    <w:p>
      <w:pPr>
        <w:keepNext w:val="0"/>
        <w:keepLines w:val="0"/>
        <w:pageBreakBefore w:val="0"/>
        <w:widowControl/>
        <w:tabs>
          <w:tab w:val="left" w:pos="1359"/>
        </w:tabs>
        <w:kinsoku/>
        <w:wordWrap/>
        <w:overflowPunct/>
        <w:topLinePunct w:val="0"/>
        <w:autoSpaceDE/>
        <w:autoSpaceDN/>
        <w:bidi w:val="0"/>
        <w:adjustRightInd/>
        <w:snapToGrid/>
        <w:spacing w:line="640" w:lineRule="exact"/>
        <w:ind w:firstLine="539"/>
        <w:jc w:val="left"/>
        <w:textAlignment w:val="auto"/>
        <w:rPr>
          <w:rFonts w:ascii="仿宋_GB2312" w:hAnsi="等线" w:eastAsia="仿宋_GB2312" w:cs="Times New Roman"/>
          <w:spacing w:val="-12"/>
          <w:sz w:val="32"/>
          <w:szCs w:val="32"/>
        </w:rPr>
      </w:pPr>
      <w:r>
        <w:rPr>
          <w:rFonts w:ascii="仿宋_GB2312" w:hAnsi="等线" w:eastAsia="仿宋_GB2312" w:cs="Times New Roman"/>
          <w:spacing w:val="-12"/>
          <w:sz w:val="32"/>
          <w:szCs w:val="32"/>
        </w:rPr>
        <w:tab/>
      </w:r>
    </w:p>
    <w:tbl>
      <w:tblPr>
        <w:tblStyle w:val="3"/>
        <w:tblW w:w="100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1319"/>
        <w:gridCol w:w="3520"/>
        <w:gridCol w:w="4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hint="eastAsia" w:ascii="方正黑体_GBK" w:hAnsi="方正黑体_GBK" w:eastAsia="方正黑体_GBK" w:cs="方正黑体_GBK"/>
                <w:b w:val="0"/>
                <w:bCs w:val="0"/>
                <w:kern w:val="0"/>
                <w:sz w:val="24"/>
                <w:szCs w:val="24"/>
              </w:rPr>
            </w:pPr>
            <w:r>
              <w:rPr>
                <w:rFonts w:hint="eastAsia" w:ascii="方正黑体_GBK" w:hAnsi="方正黑体_GBK" w:eastAsia="方正黑体_GBK" w:cs="方正黑体_GBK"/>
                <w:b w:val="0"/>
                <w:bCs w:val="0"/>
                <w:kern w:val="0"/>
                <w:sz w:val="24"/>
                <w:szCs w:val="24"/>
              </w:rPr>
              <w:t>序号</w:t>
            </w:r>
          </w:p>
        </w:tc>
        <w:tc>
          <w:tcPr>
            <w:tcW w:w="1319" w:type="dxa"/>
            <w:noWrap/>
            <w:vAlign w:val="center"/>
          </w:tcPr>
          <w:p>
            <w:pPr>
              <w:widowControl/>
              <w:jc w:val="center"/>
              <w:rPr>
                <w:rFonts w:hint="eastAsia" w:ascii="方正黑体_GBK" w:hAnsi="方正黑体_GBK" w:eastAsia="方正黑体_GBK" w:cs="方正黑体_GBK"/>
                <w:b w:val="0"/>
                <w:bCs w:val="0"/>
                <w:kern w:val="0"/>
                <w:sz w:val="24"/>
                <w:szCs w:val="24"/>
              </w:rPr>
            </w:pPr>
            <w:r>
              <w:rPr>
                <w:rFonts w:hint="eastAsia" w:ascii="方正黑体_GBK" w:hAnsi="方正黑体_GBK" w:eastAsia="方正黑体_GBK" w:cs="方正黑体_GBK"/>
                <w:b w:val="0"/>
                <w:bCs w:val="0"/>
                <w:kern w:val="0"/>
                <w:sz w:val="24"/>
                <w:szCs w:val="24"/>
              </w:rPr>
              <w:t>牵头台</w:t>
            </w:r>
          </w:p>
        </w:tc>
        <w:tc>
          <w:tcPr>
            <w:tcW w:w="3520" w:type="dxa"/>
            <w:noWrap/>
            <w:vAlign w:val="center"/>
          </w:tcPr>
          <w:p>
            <w:pPr>
              <w:widowControl/>
              <w:jc w:val="center"/>
              <w:rPr>
                <w:rFonts w:hint="eastAsia" w:ascii="方正黑体_GBK" w:hAnsi="方正黑体_GBK" w:eastAsia="方正黑体_GBK" w:cs="方正黑体_GBK"/>
                <w:b w:val="0"/>
                <w:bCs w:val="0"/>
                <w:kern w:val="0"/>
                <w:sz w:val="24"/>
                <w:szCs w:val="24"/>
              </w:rPr>
            </w:pPr>
            <w:r>
              <w:rPr>
                <w:rFonts w:hint="eastAsia" w:ascii="方正黑体_GBK" w:hAnsi="方正黑体_GBK" w:eastAsia="方正黑体_GBK" w:cs="方正黑体_GBK"/>
                <w:b w:val="0"/>
                <w:bCs w:val="0"/>
                <w:kern w:val="0"/>
                <w:sz w:val="24"/>
                <w:szCs w:val="24"/>
              </w:rPr>
              <w:t>策划名称</w:t>
            </w:r>
          </w:p>
        </w:tc>
        <w:tc>
          <w:tcPr>
            <w:tcW w:w="4521" w:type="dxa"/>
            <w:noWrap/>
            <w:vAlign w:val="center"/>
          </w:tcPr>
          <w:p>
            <w:pPr>
              <w:widowControl/>
              <w:jc w:val="center"/>
              <w:rPr>
                <w:rFonts w:hint="eastAsia" w:ascii="方正黑体_GBK" w:hAnsi="方正黑体_GBK" w:eastAsia="方正黑体_GBK" w:cs="方正黑体_GBK"/>
                <w:b w:val="0"/>
                <w:bCs w:val="0"/>
                <w:kern w:val="0"/>
                <w:sz w:val="24"/>
                <w:szCs w:val="24"/>
              </w:rPr>
            </w:pPr>
            <w:r>
              <w:rPr>
                <w:rFonts w:hint="eastAsia" w:ascii="方正黑体_GBK" w:hAnsi="方正黑体_GBK" w:eastAsia="方正黑体_GBK" w:cs="方正黑体_GBK"/>
                <w:b w:val="0"/>
                <w:bCs w:val="0"/>
                <w:kern w:val="0"/>
                <w:sz w:val="24"/>
                <w:szCs w:val="24"/>
              </w:rPr>
              <w:t>内容简介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23"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新沂市台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我们走在大路上</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以微纪录片的形式，从社会经济发展的各方面，以不同行业的人为代表和切入口，展现十八大以来，在各项政策的指引下，江苏基层社会治理、产业发展、乡村振兴、民生实事等方面的变化。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bookmarkStart w:id="0" w:name="_GoBack"/>
            <w:r>
              <w:rPr>
                <w:rFonts w:hint="eastAsia" w:ascii="仿宋_GB2312" w:hAnsi="等线" w:eastAsia="仿宋_GB2312" w:cs="宋体"/>
                <w:color w:val="000000"/>
                <w:kern w:val="0"/>
                <w:sz w:val="24"/>
                <w:szCs w:val="24"/>
              </w:rPr>
              <w:t>2</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新沂市台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遇见.美丽江苏</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以短视频的形式囊括一切美好的事物，景美、人美、地方风情美。共同参与，联合制作，彼此之间互通作品，在各自平台推送，全景展现美丽江苏、水韵江苏、人文江苏的独特魅力。</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3</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新沂市台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我是手艺人</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以民间文化为主要创作内容，挖掘和传承优秀的民间文化，体现在乡村振兴过程中，民间文化的根源魅力。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4</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溧水区台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那些年 那些事</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1、着重介绍改革开放以来各地社会方方面面发生巨变过程中经历的艰辛、困苦，让观众意识到今天的美好生活来之不易，点燃大家的爱国热情。</w:t>
            </w:r>
            <w:r>
              <w:rPr>
                <w:rFonts w:hint="eastAsia" w:ascii="仿宋_GB2312" w:hAnsi="等线" w:eastAsia="仿宋_GB2312" w:cs="Times New Roman"/>
                <w:color w:val="000000"/>
                <w:sz w:val="22"/>
                <w:szCs w:val="22"/>
              </w:rPr>
              <w:br w:type="textWrapping"/>
            </w:r>
            <w:r>
              <w:rPr>
                <w:rFonts w:hint="eastAsia" w:ascii="仿宋_GB2312" w:hAnsi="等线" w:eastAsia="仿宋_GB2312" w:cs="Times New Roman"/>
                <w:color w:val="000000"/>
                <w:sz w:val="22"/>
                <w:szCs w:val="22"/>
              </w:rPr>
              <w:t>2、介绍一些创新创业成功人士背后不为人知的故事，用他们艰辛、坎坷的经历发人深省、给人启迪。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5</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泰兴市台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 xml:space="preserve">迸发青活力 </w:t>
            </w:r>
            <w:r>
              <w:rPr>
                <w:rFonts w:hint="eastAsia" w:ascii="微软雅黑" w:hAnsi="微软雅黑" w:eastAsia="微软雅黑" w:cs="微软雅黑"/>
                <w:szCs w:val="22"/>
              </w:rPr>
              <w:t>犇</w:t>
            </w:r>
            <w:r>
              <w:rPr>
                <w:rFonts w:hint="eastAsia" w:ascii="仿宋_GB2312" w:hAnsi="仿宋_GB2312" w:eastAsia="仿宋_GB2312" w:cs="仿宋_GB2312"/>
                <w:szCs w:val="22"/>
              </w:rPr>
              <w:t>跑新征程</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借助中国共青团建团成立100周年、省第二十届运动会举办契机，建设更富青春活力、开放包容、改革创新、汇聚英才、才尽其用的青春城市，助推奋进现代化新征程，以优异成绩献礼党的二十大，计划围绕幸福宜居、文明宜业、青年友好城市，就城市功能完善提升、青年创业创新先锋、文明志愿服务、文明实践等，突出移动优先、微视频呈现，开展特色化、系列化、全媒体策划宣传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6</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浦口区台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记住乡愁 走进省级传统村落</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通过主持人的视角，探访省级传统村落文化遗产现状，发现其独特的乡村魅力，寻找、挖掘、展现乡村文化之美。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7</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沛县台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我的乡村我的家</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为喜迎党的二十大召开，进一步展示各镇村在高质量发展中奋勇争先的新面貌，取得的新成果。县融媒体中心与各镇村联合开办《美丽乡村》专题栏目，聚焦各镇村在“生产发展、生活富裕、乡风文明、村容整洁、管理民主”等工作的新动态、新举措、新亮点，定格一个个瞬间，聆听背后奋斗历程、幸福故事、乡村振兴规划、共话美好蓝图等。以鲜活生动的镜头体验、扎实深入的采访摄制、瞬间定格的韶华时光，共同见证不负韶华激情奋斗的新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8</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沛县台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印象</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各地人民群众在各行各业挥洒着自己的汗水，洋溢着自己的才华，一步步走向成功，他（她）们已成为一张张靓丽的名片，在平凡的岗位上做着不平凡的事，用镜头去捕捉他（她）们背后的故事。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9</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沛县台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好人力量</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一个典型就是一面旗帜,一个好人就是一盏明灯。为做好新时代文明实践工作，传递道德正能量，形成见贤思齐的浓厚氛围，开设专题栏目《好人力量》。聚焦中国好人、全国道德模范、全国文明家庭等，大力弘扬“好人文化”，传承好人精神，汇聚向善力量，引领更多人加入好人行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0</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沛县台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地方影像方志</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以沛县的人文、历史、发展作一个影像记录整理，从人文印记的角度解读沛县志，再从沛县志的角度彰显沛县历史文化风貌，以局部展示整体，打造一部沛县的“影像志”。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1</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泗阳县台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乡村“艺术家”</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乡村文化振兴为主题，展现乡村草根文化人物风采（书画、文艺类人物），讲述他们在新农村、新时代背景下的生活状态与艺术追求，通过他们的书画、文艺作品（含地方小戏等文化形式）反映新时代新农村的美好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2</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沭阳县台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乡村里的“文化使者”</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以电视专题片的形式，宣传在传统文化保护和传承中默默奉献的乡村典型人物的感人事迹，引导更多的人投入到乡村文化振兴的行列，为弘扬中华民族优秀传统文化贡献力量。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3</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溧阳市台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请到我们村里来做客</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随着乡村振兴战略的深入推进，特色田园乡村建设使新农村越来越美，休闲农业与乡村旅游的结合是当今旅游发展方向之一，具有强大的生机和广阔的前景。以短视频的形式宣传推介特色田园乡村，吸引周边城市游客来乡村旅游，体验新农村生活成为度假模式，提升村民和游客的幸福感、获得感和满足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4</w:t>
            </w:r>
          </w:p>
        </w:tc>
        <w:tc>
          <w:tcPr>
            <w:tcW w:w="1319"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高淳区台</w:t>
            </w:r>
          </w:p>
        </w:tc>
        <w:tc>
          <w:tcPr>
            <w:tcW w:w="3520"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Times New Roman"/>
                <w:szCs w:val="22"/>
              </w:rPr>
              <w:t>风味四季</w:t>
            </w:r>
          </w:p>
        </w:tc>
        <w:tc>
          <w:tcPr>
            <w:tcW w:w="4521" w:type="dxa"/>
            <w:vAlign w:val="center"/>
          </w:tcPr>
          <w:p>
            <w:pPr>
              <w:widowControl/>
              <w:rPr>
                <w:rFonts w:ascii="仿宋_GB2312" w:hAnsi="等线" w:eastAsia="仿宋_GB2312" w:cs="宋体"/>
                <w:color w:val="000000"/>
                <w:kern w:val="0"/>
                <w:sz w:val="24"/>
                <w:szCs w:val="24"/>
              </w:rPr>
            </w:pPr>
            <w:r>
              <w:rPr>
                <w:rFonts w:hint="eastAsia" w:ascii="仿宋_GB2312" w:hAnsi="等线" w:eastAsia="仿宋_GB2312" w:cs="Times New Roman"/>
                <w:color w:val="000000"/>
                <w:sz w:val="22"/>
                <w:szCs w:val="22"/>
              </w:rPr>
              <w:t>以食为媒，探寻舌尖上的记忆，突出人文特色，弘扬传统饮食文化，宣传地方历史文化，打造旅游品牌。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5</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高邮市台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他乡是故乡</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每座城市都有这样一群人，他们来自他乡，为了生活和梦想，在陌生的城市安家立业，扎根奋斗，把他乡视为故乡。他们有一个共同的名字，叫新（故乡）人。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6</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泗阳县台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咱是新农人</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在乡村振兴大潮中，涌现出越来越多的新型农民——“新农人”，他们既要建设好美丽宜居的家园，又要把握市场经济的规律，生产适销对路的农产品，带领乡亲共同富裕。通过短视频跟拍，记录新农人的生产经营方式、奋斗中的苦与乐，展现社会主义新农村建设的新风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7</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张家港市台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家族与家风</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在城市发展漫长历史进程中 ，先辈们生息繁衍，形成了众多绵延数代、令乡人景仰的家族，他们有着规范的家训、严格的家教，有着践行家训、率先垂范的代表人物。家是小小国，国是千万家，家风之优劣，不仅关系到家庭美满和谐，关系到地方民风乡风，更关系到国家和民族的安定团结。考察境内各大家族的渊源与发展，探究其丰富内涵和人物事迹，由文史工作者倾情讲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8</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灌云县台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乡村振兴的“擎旗手”</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以电视专题片的形式，展现十八大以来在乡村振兴过程中默默奉献、带领村民发家致富的乡村典型人物的感人事迹，引导更多的人投入到乡村振兴的行列，为献礼二十大，实现中华民族伟大复兴贡献力量。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w:t>
            </w:r>
            <w:r>
              <w:rPr>
                <w:rFonts w:ascii="仿宋_GB2312" w:hAnsi="等线" w:eastAsia="仿宋_GB2312" w:cs="宋体"/>
                <w:color w:val="000000"/>
                <w:kern w:val="0"/>
                <w:sz w:val="24"/>
                <w:szCs w:val="24"/>
              </w:rPr>
              <w:t>9</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灌云县台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老手艺  老行当</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以电视专题片的形式，通过一个个身处繁华闹市却远离时尚，远离潮流，守着老摊子，操持着老手艺，从事一份老营生的普通人身上，展现他们对于老行当，老手艺的挚爱，让观众意识到今天的美好生活来之不易，点燃大家的爱国热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704" w:type="dxa"/>
            <w:noWrap/>
            <w:vAlign w:val="center"/>
          </w:tcPr>
          <w:p>
            <w:pPr>
              <w:widowControl/>
              <w:jc w:val="center"/>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2</w:t>
            </w:r>
            <w:r>
              <w:rPr>
                <w:rFonts w:ascii="仿宋_GB2312" w:hAnsi="等线" w:eastAsia="仿宋_GB2312" w:cs="宋体"/>
                <w:color w:val="000000"/>
                <w:kern w:val="0"/>
                <w:sz w:val="24"/>
                <w:szCs w:val="24"/>
              </w:rPr>
              <w:t>0</w:t>
            </w:r>
          </w:p>
        </w:tc>
        <w:tc>
          <w:tcPr>
            <w:tcW w:w="1319"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灌云县台</w:t>
            </w:r>
          </w:p>
        </w:tc>
        <w:tc>
          <w:tcPr>
            <w:tcW w:w="3520" w:type="dxa"/>
            <w:noWrap/>
            <w:vAlign w:val="center"/>
          </w:tcPr>
          <w:p>
            <w:pPr>
              <w:widowControl/>
              <w:jc w:val="center"/>
              <w:rPr>
                <w:rFonts w:ascii="仿宋_GB2312" w:hAnsi="等线" w:eastAsia="仿宋_GB2312" w:cs="Times New Roman"/>
                <w:szCs w:val="22"/>
              </w:rPr>
            </w:pPr>
            <w:r>
              <w:rPr>
                <w:rFonts w:hint="eastAsia" w:ascii="仿宋_GB2312" w:hAnsi="等线" w:eastAsia="仿宋_GB2312" w:cs="Times New Roman"/>
                <w:szCs w:val="22"/>
              </w:rPr>
              <w:t>乡情乡味</w:t>
            </w:r>
          </w:p>
        </w:tc>
        <w:tc>
          <w:tcPr>
            <w:tcW w:w="4521" w:type="dxa"/>
            <w:vAlign w:val="bottom"/>
          </w:tcPr>
          <w:p>
            <w:pPr>
              <w:widowControl/>
              <w:rPr>
                <w:rFonts w:ascii="仿宋_GB2312" w:hAnsi="等线" w:eastAsia="仿宋_GB2312" w:cs="Times New Roman"/>
                <w:color w:val="000000"/>
                <w:sz w:val="22"/>
                <w:szCs w:val="22"/>
              </w:rPr>
            </w:pPr>
            <w:r>
              <w:rPr>
                <w:rFonts w:hint="eastAsia" w:ascii="仿宋_GB2312" w:hAnsi="等线" w:eastAsia="仿宋_GB2312" w:cs="Times New Roman"/>
                <w:color w:val="000000"/>
                <w:sz w:val="22"/>
                <w:szCs w:val="22"/>
              </w:rPr>
              <w:t>在每个人的记忆里，都会多多少少留下儿时的乡味，随着时光的流逝，家乡的味道渐渐地酝酿成难以割舍的乡情，变成剪不断理还乱的乡愁。本系列以电视专题片的形式展现江苏省内各具地方特色的乡村魅力，通过一个个鲜活的人物故事情节呈现出最难以忘怀的乡情乡味。</w:t>
            </w: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黑体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C531ED"/>
    <w:rsid w:val="13C531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2022-02-11T06:57:00Z</dcterms:created>
  <dc:creator>仇乐</dc:creator>
  <cp:lastModifiedBy>仇乐</cp:lastModifiedBy>
  <dcterms:modified xsi:type="dcterms:W3CDTF">2022-02-11T06:58:06Z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