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ascii="方正小标宋_GBK" w:eastAsia="方正小标宋_GBK"/>
          <w:b/>
          <w:sz w:val="32"/>
          <w:szCs w:val="32"/>
        </w:rPr>
      </w:pPr>
      <w:r>
        <w:rPr>
          <w:rFonts w:hint="eastAsia" w:ascii="方正小标宋_GBK" w:eastAsia="方正小标宋_GBK"/>
          <w:b/>
          <w:sz w:val="32"/>
          <w:szCs w:val="32"/>
        </w:rPr>
        <w:t>拟废止的标准清单</w:t>
      </w:r>
      <w:r>
        <w:rPr>
          <w:rFonts w:hint="default" w:ascii="方正小标宋_GBK" w:eastAsia="方正小标宋_GBK"/>
          <w:b/>
          <w:sz w:val="32"/>
          <w:szCs w:val="32"/>
        </w:rPr>
        <w:t>（92项）</w:t>
      </w:r>
    </w:p>
    <w:p>
      <w:pPr>
        <w:spacing w:line="360" w:lineRule="auto"/>
        <w:jc w:val="center"/>
        <w:rPr>
          <w:rFonts w:ascii="楷体_GB2312" w:eastAsia="楷体_GB2312"/>
          <w:b/>
          <w:sz w:val="28"/>
          <w:szCs w:val="28"/>
        </w:rPr>
      </w:pPr>
      <w:r>
        <w:rPr>
          <w:rFonts w:hint="eastAsia" w:ascii="楷体_GB2312" w:eastAsia="楷体_GB2312"/>
          <w:b/>
          <w:sz w:val="28"/>
          <w:szCs w:val="28"/>
        </w:rPr>
        <w:t>一、中心领域</w:t>
      </w:r>
      <w:r>
        <w:rPr>
          <w:rFonts w:hint="default" w:ascii="楷体_GB2312" w:eastAsia="楷体_GB2312"/>
          <w:b/>
          <w:sz w:val="28"/>
          <w:szCs w:val="28"/>
        </w:rPr>
        <w:t>（37项）</w:t>
      </w:r>
    </w:p>
    <w:tbl>
      <w:tblPr>
        <w:tblStyle w:val="10"/>
        <w:tblW w:w="14174" w:type="dxa"/>
        <w:tblInd w:w="0" w:type="dxa"/>
        <w:tblLayout w:type="fixed"/>
        <w:tblCellMar>
          <w:top w:w="0" w:type="dxa"/>
          <w:left w:w="108" w:type="dxa"/>
          <w:bottom w:w="0" w:type="dxa"/>
          <w:right w:w="108" w:type="dxa"/>
        </w:tblCellMar>
      </w:tblPr>
      <w:tblGrid>
        <w:gridCol w:w="676"/>
        <w:gridCol w:w="2552"/>
        <w:gridCol w:w="3402"/>
        <w:gridCol w:w="4862"/>
        <w:gridCol w:w="2682"/>
      </w:tblGrid>
      <w:tr>
        <w:tblPrEx>
          <w:tblLayout w:type="fixed"/>
          <w:tblCellMar>
            <w:top w:w="0" w:type="dxa"/>
            <w:left w:w="108" w:type="dxa"/>
            <w:bottom w:w="0" w:type="dxa"/>
            <w:right w:w="108" w:type="dxa"/>
          </w:tblCellMar>
        </w:tblPrEx>
        <w:trPr>
          <w:cantSplit/>
          <w:trHeight w:val="513" w:hRule="atLeast"/>
          <w:tblHeader/>
        </w:trPr>
        <w:tc>
          <w:tcPr>
            <w:tcW w:w="676"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eastAsia="仿宋_GB2312"/>
                <w:b/>
                <w:szCs w:val="21"/>
              </w:rPr>
            </w:pPr>
            <w:r>
              <w:rPr>
                <w:rFonts w:hint="eastAsia" w:ascii="仿宋_GB2312" w:eastAsia="仿宋_GB2312"/>
                <w:b/>
                <w:szCs w:val="21"/>
              </w:rPr>
              <w:t>序号</w:t>
            </w:r>
          </w:p>
        </w:tc>
        <w:tc>
          <w:tcPr>
            <w:tcW w:w="2552" w:type="dxa"/>
            <w:tcBorders>
              <w:top w:val="single" w:color="auto" w:sz="4" w:space="0"/>
              <w:left w:val="nil"/>
              <w:bottom w:val="single" w:color="auto" w:sz="4" w:space="0"/>
              <w:right w:val="single" w:color="auto" w:sz="4" w:space="0"/>
            </w:tcBorders>
            <w:vAlign w:val="center"/>
          </w:tcPr>
          <w:p>
            <w:pPr>
              <w:widowControl/>
              <w:jc w:val="center"/>
              <w:rPr>
                <w:rFonts w:ascii="仿宋_GB2312" w:eastAsia="仿宋_GB2312"/>
                <w:b/>
                <w:szCs w:val="21"/>
              </w:rPr>
            </w:pPr>
            <w:r>
              <w:rPr>
                <w:rFonts w:hint="eastAsia" w:ascii="仿宋_GB2312" w:eastAsia="仿宋_GB2312"/>
                <w:b/>
                <w:szCs w:val="21"/>
              </w:rPr>
              <w:t>标准编号</w:t>
            </w:r>
          </w:p>
        </w:tc>
        <w:tc>
          <w:tcPr>
            <w:tcW w:w="3402" w:type="dxa"/>
            <w:tcBorders>
              <w:top w:val="single" w:color="auto" w:sz="4" w:space="0"/>
              <w:left w:val="nil"/>
              <w:bottom w:val="single" w:color="auto" w:sz="4" w:space="0"/>
              <w:right w:val="single" w:color="auto" w:sz="4" w:space="0"/>
            </w:tcBorders>
            <w:vAlign w:val="center"/>
          </w:tcPr>
          <w:p>
            <w:pPr>
              <w:widowControl/>
              <w:jc w:val="center"/>
              <w:rPr>
                <w:rFonts w:ascii="仿宋_GB2312" w:eastAsia="仿宋_GB2312"/>
                <w:b/>
                <w:szCs w:val="21"/>
              </w:rPr>
            </w:pPr>
            <w:r>
              <w:rPr>
                <w:rFonts w:hint="eastAsia" w:ascii="仿宋_GB2312" w:eastAsia="仿宋_GB2312"/>
                <w:b/>
                <w:szCs w:val="21"/>
              </w:rPr>
              <w:t>标准名称</w:t>
            </w:r>
          </w:p>
        </w:tc>
        <w:tc>
          <w:tcPr>
            <w:tcW w:w="4862" w:type="dxa"/>
            <w:tcBorders>
              <w:top w:val="single" w:color="auto" w:sz="4" w:space="0"/>
              <w:left w:val="nil"/>
              <w:bottom w:val="single" w:color="auto" w:sz="4" w:space="0"/>
              <w:right w:val="single" w:color="auto" w:sz="4" w:space="0"/>
            </w:tcBorders>
            <w:vAlign w:val="center"/>
          </w:tcPr>
          <w:p>
            <w:pPr>
              <w:widowControl/>
              <w:jc w:val="center"/>
              <w:rPr>
                <w:rFonts w:ascii="仿宋_GB2312" w:eastAsia="仿宋_GB2312"/>
                <w:b/>
                <w:szCs w:val="21"/>
              </w:rPr>
            </w:pPr>
            <w:r>
              <w:rPr>
                <w:rFonts w:hint="eastAsia" w:ascii="仿宋_GB2312" w:eastAsia="仿宋_GB2312"/>
                <w:b/>
                <w:szCs w:val="21"/>
              </w:rPr>
              <w:t>标准内容</w:t>
            </w:r>
          </w:p>
        </w:tc>
        <w:tc>
          <w:tcPr>
            <w:tcW w:w="2682" w:type="dxa"/>
            <w:tcBorders>
              <w:top w:val="single" w:color="auto" w:sz="4" w:space="0"/>
              <w:left w:val="nil"/>
              <w:bottom w:val="single" w:color="auto" w:sz="4" w:space="0"/>
              <w:right w:val="single" w:color="auto" w:sz="4" w:space="0"/>
            </w:tcBorders>
            <w:vAlign w:val="center"/>
          </w:tcPr>
          <w:p>
            <w:pPr>
              <w:widowControl/>
              <w:jc w:val="center"/>
              <w:rPr>
                <w:rFonts w:ascii="仿宋_GB2312" w:eastAsia="仿宋_GB2312"/>
                <w:b/>
                <w:szCs w:val="21"/>
              </w:rPr>
            </w:pPr>
            <w:r>
              <w:rPr>
                <w:rFonts w:hint="eastAsia" w:ascii="仿宋_GB2312" w:eastAsia="仿宋_GB2312"/>
                <w:b/>
                <w:szCs w:val="21"/>
              </w:rPr>
              <w:t>废止理由</w:t>
            </w:r>
          </w:p>
        </w:tc>
      </w:tr>
      <w:tr>
        <w:tblPrEx>
          <w:tblLayout w:type="fixed"/>
          <w:tblCellMar>
            <w:top w:w="0" w:type="dxa"/>
            <w:left w:w="108" w:type="dxa"/>
            <w:bottom w:w="0" w:type="dxa"/>
            <w:right w:w="108" w:type="dxa"/>
          </w:tblCellMar>
        </w:tblPrEx>
        <w:trPr>
          <w:cantSplit/>
          <w:trHeight w:val="20" w:hRule="atLeast"/>
        </w:trPr>
        <w:tc>
          <w:tcPr>
            <w:tcW w:w="676" w:type="dxa"/>
            <w:tcBorders>
              <w:top w:val="nil"/>
              <w:left w:val="single" w:color="auto" w:sz="4" w:space="0"/>
              <w:bottom w:val="single" w:color="auto" w:sz="4" w:space="0"/>
              <w:right w:val="single" w:color="auto" w:sz="4" w:space="0"/>
            </w:tcBorders>
            <w:vAlign w:val="center"/>
          </w:tcPr>
          <w:p>
            <w:pPr>
              <w:jc w:val="center"/>
              <w:rPr>
                <w:rFonts w:ascii="宋体" w:cs="宋体"/>
                <w:bCs/>
                <w:color w:val="000000"/>
                <w:szCs w:val="21"/>
              </w:rPr>
            </w:pPr>
            <w:r>
              <w:rPr>
                <w:rFonts w:ascii="宋体" w:hAnsi="宋体" w:cs="宋体"/>
                <w:bCs/>
                <w:color w:val="000000"/>
                <w:szCs w:val="21"/>
              </w:rPr>
              <w:t>1</w:t>
            </w:r>
          </w:p>
        </w:tc>
        <w:tc>
          <w:tcPr>
            <w:tcW w:w="2552" w:type="dxa"/>
            <w:tcBorders>
              <w:top w:val="nil"/>
              <w:left w:val="nil"/>
              <w:bottom w:val="single" w:color="auto" w:sz="4" w:space="0"/>
              <w:right w:val="single" w:color="auto" w:sz="4" w:space="0"/>
            </w:tcBorders>
            <w:vAlign w:val="center"/>
          </w:tcPr>
          <w:p>
            <w:pPr>
              <w:rPr>
                <w:rFonts w:ascii="宋体" w:cs="宋体"/>
                <w:bCs/>
                <w:color w:val="000000"/>
                <w:szCs w:val="21"/>
              </w:rPr>
            </w:pPr>
            <w:r>
              <w:rPr>
                <w:rFonts w:ascii="宋体" w:hAnsi="宋体" w:cs="宋体"/>
                <w:bCs/>
                <w:color w:val="000000"/>
                <w:szCs w:val="21"/>
              </w:rPr>
              <w:t xml:space="preserve">GB/T 3175.1-1987 </w:t>
            </w:r>
          </w:p>
        </w:tc>
        <w:tc>
          <w:tcPr>
            <w:tcW w:w="340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反射式彩条测试图</w:t>
            </w:r>
            <w:r>
              <w:rPr>
                <w:rFonts w:ascii="宋体" w:hAnsi="宋体" w:cs="宋体"/>
                <w:bCs/>
                <w:color w:val="000000"/>
                <w:szCs w:val="21"/>
              </w:rPr>
              <w:t xml:space="preserve"> </w:t>
            </w:r>
          </w:p>
        </w:tc>
        <w:tc>
          <w:tcPr>
            <w:tcW w:w="486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规定了反射式彩条测试图的基本参数等相关要求。</w:t>
            </w:r>
          </w:p>
        </w:tc>
        <w:tc>
          <w:tcPr>
            <w:tcW w:w="2682" w:type="dxa"/>
            <w:tcBorders>
              <w:top w:val="nil"/>
              <w:left w:val="nil"/>
              <w:bottom w:val="single" w:color="auto" w:sz="4" w:space="0"/>
              <w:right w:val="single" w:color="auto" w:sz="4" w:space="0"/>
            </w:tcBorders>
            <w:vAlign w:val="center"/>
          </w:tcPr>
          <w:p>
            <w:pPr>
              <w:rPr>
                <w:rFonts w:ascii="宋体" w:cs="宋体"/>
                <w:bCs/>
                <w:szCs w:val="21"/>
              </w:rPr>
            </w:pPr>
            <w:r>
              <w:rPr>
                <w:rFonts w:hint="eastAsia" w:ascii="宋体" w:hAnsi="宋体" w:cs="宋体"/>
                <w:bCs/>
                <w:szCs w:val="21"/>
              </w:rPr>
              <w:t>技术过时落后</w:t>
            </w:r>
          </w:p>
        </w:tc>
      </w:tr>
      <w:tr>
        <w:tblPrEx>
          <w:tblLayout w:type="fixed"/>
          <w:tblCellMar>
            <w:top w:w="0" w:type="dxa"/>
            <w:left w:w="108" w:type="dxa"/>
            <w:bottom w:w="0" w:type="dxa"/>
            <w:right w:w="108" w:type="dxa"/>
          </w:tblCellMar>
        </w:tblPrEx>
        <w:trPr>
          <w:cantSplit/>
          <w:trHeight w:val="20" w:hRule="atLeast"/>
        </w:trPr>
        <w:tc>
          <w:tcPr>
            <w:tcW w:w="676" w:type="dxa"/>
            <w:tcBorders>
              <w:top w:val="nil"/>
              <w:left w:val="single" w:color="auto" w:sz="4" w:space="0"/>
              <w:bottom w:val="single" w:color="auto" w:sz="4" w:space="0"/>
              <w:right w:val="single" w:color="auto" w:sz="4" w:space="0"/>
            </w:tcBorders>
            <w:vAlign w:val="center"/>
          </w:tcPr>
          <w:p>
            <w:pPr>
              <w:jc w:val="center"/>
              <w:rPr>
                <w:rFonts w:ascii="宋体" w:cs="宋体"/>
                <w:bCs/>
                <w:color w:val="000000"/>
                <w:szCs w:val="21"/>
              </w:rPr>
            </w:pPr>
            <w:r>
              <w:rPr>
                <w:rFonts w:ascii="宋体" w:hAnsi="宋体" w:cs="宋体"/>
                <w:bCs/>
                <w:color w:val="000000"/>
                <w:szCs w:val="21"/>
              </w:rPr>
              <w:t>2</w:t>
            </w:r>
          </w:p>
        </w:tc>
        <w:tc>
          <w:tcPr>
            <w:tcW w:w="2552" w:type="dxa"/>
            <w:tcBorders>
              <w:top w:val="nil"/>
              <w:left w:val="nil"/>
              <w:bottom w:val="single" w:color="auto" w:sz="4" w:space="0"/>
              <w:right w:val="single" w:color="auto" w:sz="4" w:space="0"/>
            </w:tcBorders>
            <w:vAlign w:val="center"/>
          </w:tcPr>
          <w:p>
            <w:pPr>
              <w:rPr>
                <w:rFonts w:ascii="宋体" w:cs="宋体"/>
                <w:bCs/>
                <w:color w:val="000000"/>
                <w:szCs w:val="21"/>
              </w:rPr>
            </w:pPr>
            <w:r>
              <w:rPr>
                <w:rFonts w:ascii="宋体" w:hAnsi="宋体" w:cs="宋体"/>
                <w:bCs/>
                <w:color w:val="000000"/>
                <w:szCs w:val="21"/>
              </w:rPr>
              <w:t>GB/T 3175.2-1987</w:t>
            </w:r>
          </w:p>
        </w:tc>
        <w:tc>
          <w:tcPr>
            <w:tcW w:w="340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反射式肤色测试图</w:t>
            </w:r>
          </w:p>
        </w:tc>
        <w:tc>
          <w:tcPr>
            <w:tcW w:w="486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规定了反射式肤色测试图的基本参数等相关要求。</w:t>
            </w:r>
          </w:p>
        </w:tc>
        <w:tc>
          <w:tcPr>
            <w:tcW w:w="2682" w:type="dxa"/>
            <w:tcBorders>
              <w:top w:val="nil"/>
              <w:left w:val="nil"/>
              <w:bottom w:val="single" w:color="auto" w:sz="4" w:space="0"/>
              <w:right w:val="single" w:color="auto" w:sz="4" w:space="0"/>
            </w:tcBorders>
            <w:vAlign w:val="center"/>
          </w:tcPr>
          <w:p>
            <w:r>
              <w:rPr>
                <w:rFonts w:hint="eastAsia" w:ascii="宋体" w:hAnsi="宋体" w:cs="宋体"/>
                <w:bCs/>
                <w:szCs w:val="21"/>
              </w:rPr>
              <w:t>技术过时落后</w:t>
            </w:r>
          </w:p>
        </w:tc>
      </w:tr>
      <w:tr>
        <w:tblPrEx>
          <w:tblLayout w:type="fixed"/>
          <w:tblCellMar>
            <w:top w:w="0" w:type="dxa"/>
            <w:left w:w="108" w:type="dxa"/>
            <w:bottom w:w="0" w:type="dxa"/>
            <w:right w:w="108" w:type="dxa"/>
          </w:tblCellMar>
        </w:tblPrEx>
        <w:trPr>
          <w:cantSplit/>
          <w:trHeight w:val="20" w:hRule="atLeast"/>
        </w:trPr>
        <w:tc>
          <w:tcPr>
            <w:tcW w:w="676" w:type="dxa"/>
            <w:tcBorders>
              <w:top w:val="nil"/>
              <w:left w:val="single" w:color="auto" w:sz="4" w:space="0"/>
              <w:bottom w:val="single" w:color="auto" w:sz="4" w:space="0"/>
              <w:right w:val="single" w:color="auto" w:sz="4" w:space="0"/>
            </w:tcBorders>
            <w:vAlign w:val="center"/>
          </w:tcPr>
          <w:p>
            <w:pPr>
              <w:jc w:val="center"/>
              <w:rPr>
                <w:rFonts w:ascii="宋体" w:cs="宋体"/>
                <w:bCs/>
                <w:color w:val="000000"/>
                <w:szCs w:val="21"/>
              </w:rPr>
            </w:pPr>
            <w:r>
              <w:rPr>
                <w:rFonts w:ascii="宋体" w:hAnsi="宋体" w:cs="宋体"/>
                <w:bCs/>
                <w:color w:val="000000"/>
                <w:szCs w:val="21"/>
              </w:rPr>
              <w:t>3</w:t>
            </w:r>
          </w:p>
        </w:tc>
        <w:tc>
          <w:tcPr>
            <w:tcW w:w="2552" w:type="dxa"/>
            <w:tcBorders>
              <w:top w:val="nil"/>
              <w:left w:val="nil"/>
              <w:bottom w:val="single" w:color="auto" w:sz="4" w:space="0"/>
              <w:right w:val="single" w:color="auto" w:sz="4" w:space="0"/>
            </w:tcBorders>
            <w:vAlign w:val="center"/>
          </w:tcPr>
          <w:p>
            <w:pPr>
              <w:rPr>
                <w:rFonts w:ascii="宋体" w:cs="宋体"/>
                <w:bCs/>
                <w:color w:val="000000"/>
                <w:szCs w:val="21"/>
              </w:rPr>
            </w:pPr>
            <w:r>
              <w:rPr>
                <w:rFonts w:ascii="宋体" w:hAnsi="宋体" w:cs="宋体"/>
                <w:bCs/>
                <w:color w:val="000000"/>
                <w:szCs w:val="21"/>
              </w:rPr>
              <w:t>GB/T 3175.3-1987</w:t>
            </w:r>
          </w:p>
        </w:tc>
        <w:tc>
          <w:tcPr>
            <w:tcW w:w="340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透射式彩条测试图</w:t>
            </w:r>
          </w:p>
        </w:tc>
        <w:tc>
          <w:tcPr>
            <w:tcW w:w="486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规定了透射式彩条测试图的基本参数等相关要求。</w:t>
            </w:r>
          </w:p>
        </w:tc>
        <w:tc>
          <w:tcPr>
            <w:tcW w:w="2682" w:type="dxa"/>
            <w:tcBorders>
              <w:top w:val="nil"/>
              <w:left w:val="nil"/>
              <w:bottom w:val="single" w:color="auto" w:sz="4" w:space="0"/>
              <w:right w:val="single" w:color="auto" w:sz="4" w:space="0"/>
            </w:tcBorders>
            <w:vAlign w:val="center"/>
          </w:tcPr>
          <w:p>
            <w:r>
              <w:rPr>
                <w:rFonts w:hint="eastAsia" w:ascii="宋体" w:hAnsi="宋体" w:cs="宋体"/>
                <w:bCs/>
                <w:szCs w:val="21"/>
              </w:rPr>
              <w:t>技术过时落后</w:t>
            </w:r>
          </w:p>
        </w:tc>
      </w:tr>
      <w:tr>
        <w:tblPrEx>
          <w:tblLayout w:type="fixed"/>
          <w:tblCellMar>
            <w:top w:w="0" w:type="dxa"/>
            <w:left w:w="108" w:type="dxa"/>
            <w:bottom w:w="0" w:type="dxa"/>
            <w:right w:w="108" w:type="dxa"/>
          </w:tblCellMar>
        </w:tblPrEx>
        <w:trPr>
          <w:cantSplit/>
          <w:trHeight w:val="20" w:hRule="atLeast"/>
        </w:trPr>
        <w:tc>
          <w:tcPr>
            <w:tcW w:w="676" w:type="dxa"/>
            <w:tcBorders>
              <w:top w:val="nil"/>
              <w:left w:val="single" w:color="auto" w:sz="4" w:space="0"/>
              <w:bottom w:val="single" w:color="auto" w:sz="4" w:space="0"/>
              <w:right w:val="single" w:color="auto" w:sz="4" w:space="0"/>
            </w:tcBorders>
            <w:vAlign w:val="center"/>
          </w:tcPr>
          <w:p>
            <w:pPr>
              <w:jc w:val="center"/>
              <w:rPr>
                <w:rFonts w:ascii="宋体" w:cs="宋体"/>
                <w:bCs/>
                <w:color w:val="000000"/>
                <w:szCs w:val="21"/>
              </w:rPr>
            </w:pPr>
            <w:r>
              <w:rPr>
                <w:rFonts w:ascii="宋体" w:hAnsi="宋体" w:cs="宋体"/>
                <w:bCs/>
                <w:color w:val="000000"/>
                <w:szCs w:val="21"/>
              </w:rPr>
              <w:t>4</w:t>
            </w:r>
          </w:p>
        </w:tc>
        <w:tc>
          <w:tcPr>
            <w:tcW w:w="2552" w:type="dxa"/>
            <w:tcBorders>
              <w:top w:val="nil"/>
              <w:left w:val="nil"/>
              <w:bottom w:val="single" w:color="auto" w:sz="4" w:space="0"/>
              <w:right w:val="single" w:color="auto" w:sz="4" w:space="0"/>
            </w:tcBorders>
            <w:vAlign w:val="center"/>
          </w:tcPr>
          <w:p>
            <w:pPr>
              <w:rPr>
                <w:rFonts w:ascii="宋体" w:cs="宋体"/>
                <w:bCs/>
                <w:color w:val="000000"/>
                <w:szCs w:val="21"/>
              </w:rPr>
            </w:pPr>
            <w:r>
              <w:rPr>
                <w:rFonts w:ascii="宋体" w:hAnsi="宋体" w:cs="宋体"/>
                <w:bCs/>
                <w:color w:val="000000"/>
                <w:szCs w:val="21"/>
              </w:rPr>
              <w:t xml:space="preserve">GB/T 3175.4-1987 </w:t>
            </w:r>
          </w:p>
        </w:tc>
        <w:tc>
          <w:tcPr>
            <w:tcW w:w="340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透射式肤色测试图</w:t>
            </w:r>
          </w:p>
        </w:tc>
        <w:tc>
          <w:tcPr>
            <w:tcW w:w="486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规定了透射式肤色测试图的基本参数等相关要求。</w:t>
            </w:r>
          </w:p>
        </w:tc>
        <w:tc>
          <w:tcPr>
            <w:tcW w:w="2682" w:type="dxa"/>
            <w:tcBorders>
              <w:top w:val="nil"/>
              <w:left w:val="nil"/>
              <w:bottom w:val="single" w:color="auto" w:sz="4" w:space="0"/>
              <w:right w:val="single" w:color="auto" w:sz="4" w:space="0"/>
            </w:tcBorders>
            <w:vAlign w:val="center"/>
          </w:tcPr>
          <w:p>
            <w:r>
              <w:rPr>
                <w:rFonts w:hint="eastAsia" w:ascii="宋体" w:hAnsi="宋体" w:cs="宋体"/>
                <w:bCs/>
                <w:szCs w:val="21"/>
              </w:rPr>
              <w:t>技术过时落后</w:t>
            </w:r>
          </w:p>
        </w:tc>
      </w:tr>
      <w:tr>
        <w:tblPrEx>
          <w:tblLayout w:type="fixed"/>
          <w:tblCellMar>
            <w:top w:w="0" w:type="dxa"/>
            <w:left w:w="108" w:type="dxa"/>
            <w:bottom w:w="0" w:type="dxa"/>
            <w:right w:w="108" w:type="dxa"/>
          </w:tblCellMar>
        </w:tblPrEx>
        <w:trPr>
          <w:cantSplit/>
          <w:trHeight w:val="20" w:hRule="atLeast"/>
        </w:trPr>
        <w:tc>
          <w:tcPr>
            <w:tcW w:w="676" w:type="dxa"/>
            <w:tcBorders>
              <w:top w:val="nil"/>
              <w:left w:val="single" w:color="auto" w:sz="4" w:space="0"/>
              <w:bottom w:val="single" w:color="auto" w:sz="4" w:space="0"/>
              <w:right w:val="single" w:color="auto" w:sz="4" w:space="0"/>
            </w:tcBorders>
            <w:vAlign w:val="center"/>
          </w:tcPr>
          <w:p>
            <w:pPr>
              <w:jc w:val="center"/>
              <w:rPr>
                <w:rFonts w:ascii="宋体" w:cs="宋体"/>
                <w:bCs/>
                <w:color w:val="000000"/>
                <w:szCs w:val="21"/>
              </w:rPr>
            </w:pPr>
            <w:r>
              <w:rPr>
                <w:rFonts w:ascii="宋体" w:hAnsi="宋体" w:cs="宋体"/>
                <w:bCs/>
                <w:color w:val="000000"/>
                <w:szCs w:val="21"/>
              </w:rPr>
              <w:t>5</w:t>
            </w:r>
          </w:p>
        </w:tc>
        <w:tc>
          <w:tcPr>
            <w:tcW w:w="2552" w:type="dxa"/>
            <w:tcBorders>
              <w:top w:val="nil"/>
              <w:left w:val="nil"/>
              <w:bottom w:val="single" w:color="auto" w:sz="4" w:space="0"/>
              <w:right w:val="single" w:color="auto" w:sz="4" w:space="0"/>
            </w:tcBorders>
            <w:vAlign w:val="center"/>
          </w:tcPr>
          <w:p>
            <w:pPr>
              <w:rPr>
                <w:rFonts w:ascii="宋体" w:cs="宋体"/>
                <w:bCs/>
                <w:color w:val="000000"/>
                <w:szCs w:val="21"/>
              </w:rPr>
            </w:pPr>
            <w:r>
              <w:rPr>
                <w:rFonts w:ascii="宋体" w:hAnsi="宋体" w:cs="宋体"/>
                <w:bCs/>
                <w:color w:val="000000"/>
                <w:szCs w:val="21"/>
              </w:rPr>
              <w:t xml:space="preserve">GB/T 9403-1988 </w:t>
            </w:r>
          </w:p>
        </w:tc>
        <w:tc>
          <w:tcPr>
            <w:tcW w:w="340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反射式灰度级测试图</w:t>
            </w:r>
          </w:p>
        </w:tc>
        <w:tc>
          <w:tcPr>
            <w:tcW w:w="486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规定了作为彩色摄像机进行调整是重要且常用的运行卡之一的反射式灰度级测试图的相关要求。</w:t>
            </w:r>
          </w:p>
        </w:tc>
        <w:tc>
          <w:tcPr>
            <w:tcW w:w="2682" w:type="dxa"/>
            <w:tcBorders>
              <w:top w:val="nil"/>
              <w:left w:val="nil"/>
              <w:bottom w:val="single" w:color="auto" w:sz="4" w:space="0"/>
              <w:right w:val="single" w:color="auto" w:sz="4" w:space="0"/>
            </w:tcBorders>
            <w:vAlign w:val="center"/>
          </w:tcPr>
          <w:p>
            <w:r>
              <w:rPr>
                <w:rFonts w:hint="eastAsia" w:ascii="宋体" w:hAnsi="宋体" w:cs="宋体"/>
                <w:bCs/>
                <w:szCs w:val="21"/>
              </w:rPr>
              <w:t>技术过时落后</w:t>
            </w:r>
          </w:p>
        </w:tc>
      </w:tr>
      <w:tr>
        <w:tblPrEx>
          <w:tblLayout w:type="fixed"/>
          <w:tblCellMar>
            <w:top w:w="0" w:type="dxa"/>
            <w:left w:w="108" w:type="dxa"/>
            <w:bottom w:w="0" w:type="dxa"/>
            <w:right w:w="108" w:type="dxa"/>
          </w:tblCellMar>
        </w:tblPrEx>
        <w:trPr>
          <w:cantSplit/>
          <w:trHeight w:val="20" w:hRule="atLeast"/>
        </w:trPr>
        <w:tc>
          <w:tcPr>
            <w:tcW w:w="676" w:type="dxa"/>
            <w:tcBorders>
              <w:top w:val="nil"/>
              <w:left w:val="single" w:color="auto" w:sz="4" w:space="0"/>
              <w:bottom w:val="single" w:color="auto" w:sz="4" w:space="0"/>
              <w:right w:val="single" w:color="auto" w:sz="4" w:space="0"/>
            </w:tcBorders>
            <w:vAlign w:val="center"/>
          </w:tcPr>
          <w:p>
            <w:pPr>
              <w:jc w:val="center"/>
              <w:rPr>
                <w:rFonts w:ascii="宋体" w:cs="宋体"/>
                <w:bCs/>
                <w:color w:val="000000"/>
                <w:szCs w:val="21"/>
              </w:rPr>
            </w:pPr>
            <w:r>
              <w:rPr>
                <w:rFonts w:ascii="宋体" w:hAnsi="宋体" w:cs="宋体"/>
                <w:bCs/>
                <w:color w:val="000000"/>
                <w:szCs w:val="21"/>
              </w:rPr>
              <w:t>6</w:t>
            </w:r>
          </w:p>
        </w:tc>
        <w:tc>
          <w:tcPr>
            <w:tcW w:w="2552" w:type="dxa"/>
            <w:tcBorders>
              <w:top w:val="nil"/>
              <w:left w:val="nil"/>
              <w:bottom w:val="single" w:color="auto" w:sz="4" w:space="0"/>
              <w:right w:val="single" w:color="auto" w:sz="4" w:space="0"/>
            </w:tcBorders>
            <w:vAlign w:val="center"/>
          </w:tcPr>
          <w:p>
            <w:pPr>
              <w:rPr>
                <w:rFonts w:ascii="宋体" w:cs="宋体"/>
                <w:bCs/>
                <w:color w:val="000000"/>
                <w:szCs w:val="21"/>
              </w:rPr>
            </w:pPr>
            <w:r>
              <w:rPr>
                <w:rFonts w:ascii="宋体" w:hAnsi="宋体" w:cs="宋体"/>
                <w:bCs/>
                <w:color w:val="000000"/>
                <w:szCs w:val="21"/>
              </w:rPr>
              <w:t xml:space="preserve">GY/T 76-1989 </w:t>
            </w:r>
          </w:p>
        </w:tc>
        <w:tc>
          <w:tcPr>
            <w:tcW w:w="340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广播调音台电性能运行技术指标测量方法</w:t>
            </w:r>
          </w:p>
        </w:tc>
        <w:tc>
          <w:tcPr>
            <w:tcW w:w="486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规定了广播专业用调音台电性能运行技术指标的测量方法。</w:t>
            </w:r>
          </w:p>
        </w:tc>
        <w:tc>
          <w:tcPr>
            <w:tcW w:w="2682" w:type="dxa"/>
            <w:tcBorders>
              <w:top w:val="nil"/>
              <w:left w:val="nil"/>
              <w:bottom w:val="single" w:color="auto" w:sz="4" w:space="0"/>
              <w:right w:val="single" w:color="auto" w:sz="4" w:space="0"/>
            </w:tcBorders>
            <w:vAlign w:val="center"/>
          </w:tcPr>
          <w:p>
            <w:pPr>
              <w:rPr>
                <w:rFonts w:ascii="宋体" w:cs="宋体"/>
                <w:bCs/>
                <w:szCs w:val="21"/>
              </w:rPr>
            </w:pPr>
            <w:r>
              <w:rPr>
                <w:rFonts w:hint="eastAsia" w:ascii="宋体" w:hAnsi="宋体" w:cs="宋体"/>
                <w:bCs/>
                <w:szCs w:val="21"/>
              </w:rPr>
              <w:t>已有新的标准发布，见</w:t>
            </w:r>
            <w:r>
              <w:rPr>
                <w:rFonts w:ascii="宋体" w:hAnsi="宋体" w:cs="宋体"/>
                <w:bCs/>
                <w:szCs w:val="21"/>
              </w:rPr>
              <w:t>GY/T 274-2013</w:t>
            </w:r>
          </w:p>
        </w:tc>
      </w:tr>
      <w:tr>
        <w:tblPrEx>
          <w:tblLayout w:type="fixed"/>
          <w:tblCellMar>
            <w:top w:w="0" w:type="dxa"/>
            <w:left w:w="108" w:type="dxa"/>
            <w:bottom w:w="0" w:type="dxa"/>
            <w:right w:w="108" w:type="dxa"/>
          </w:tblCellMar>
        </w:tblPrEx>
        <w:trPr>
          <w:cantSplit/>
          <w:trHeight w:val="20" w:hRule="atLeast"/>
        </w:trPr>
        <w:tc>
          <w:tcPr>
            <w:tcW w:w="676" w:type="dxa"/>
            <w:tcBorders>
              <w:top w:val="nil"/>
              <w:left w:val="single" w:color="auto" w:sz="4" w:space="0"/>
              <w:bottom w:val="single" w:color="auto" w:sz="4" w:space="0"/>
              <w:right w:val="single" w:color="auto" w:sz="4" w:space="0"/>
            </w:tcBorders>
            <w:vAlign w:val="center"/>
          </w:tcPr>
          <w:p>
            <w:pPr>
              <w:jc w:val="center"/>
              <w:rPr>
                <w:rFonts w:ascii="宋体" w:cs="宋体"/>
                <w:bCs/>
                <w:color w:val="000000"/>
                <w:szCs w:val="21"/>
              </w:rPr>
            </w:pPr>
            <w:r>
              <w:rPr>
                <w:rFonts w:ascii="宋体" w:hAnsi="宋体" w:cs="宋体"/>
                <w:bCs/>
                <w:color w:val="000000"/>
                <w:szCs w:val="21"/>
              </w:rPr>
              <w:t>7</w:t>
            </w:r>
          </w:p>
        </w:tc>
        <w:tc>
          <w:tcPr>
            <w:tcW w:w="2552" w:type="dxa"/>
            <w:tcBorders>
              <w:top w:val="nil"/>
              <w:left w:val="nil"/>
              <w:bottom w:val="single" w:color="auto" w:sz="4" w:space="0"/>
              <w:right w:val="single" w:color="auto" w:sz="4" w:space="0"/>
            </w:tcBorders>
            <w:vAlign w:val="center"/>
          </w:tcPr>
          <w:p>
            <w:pPr>
              <w:rPr>
                <w:rFonts w:ascii="宋体" w:cs="宋体"/>
                <w:bCs/>
                <w:color w:val="000000"/>
                <w:szCs w:val="21"/>
              </w:rPr>
            </w:pPr>
            <w:r>
              <w:rPr>
                <w:rFonts w:ascii="宋体" w:hAnsi="宋体" w:cs="宋体"/>
                <w:bCs/>
                <w:color w:val="000000"/>
                <w:szCs w:val="21"/>
              </w:rPr>
              <w:t xml:space="preserve">GY/T 77-1989 </w:t>
            </w:r>
          </w:p>
        </w:tc>
        <w:tc>
          <w:tcPr>
            <w:tcW w:w="340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广播调音台运行技术指标等级</w:t>
            </w:r>
          </w:p>
        </w:tc>
        <w:tc>
          <w:tcPr>
            <w:tcW w:w="486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规定了广播用调音台的运行技术指标等级。</w:t>
            </w:r>
          </w:p>
        </w:tc>
        <w:tc>
          <w:tcPr>
            <w:tcW w:w="2682" w:type="dxa"/>
            <w:tcBorders>
              <w:top w:val="nil"/>
              <w:left w:val="nil"/>
              <w:bottom w:val="single" w:color="auto" w:sz="4" w:space="0"/>
              <w:right w:val="single" w:color="auto" w:sz="4" w:space="0"/>
            </w:tcBorders>
            <w:vAlign w:val="center"/>
          </w:tcPr>
          <w:p>
            <w:pPr>
              <w:rPr>
                <w:rFonts w:ascii="宋体" w:cs="宋体"/>
                <w:bCs/>
                <w:szCs w:val="21"/>
              </w:rPr>
            </w:pPr>
            <w:r>
              <w:rPr>
                <w:rFonts w:hint="eastAsia" w:ascii="宋体" w:hAnsi="宋体" w:cs="宋体"/>
                <w:bCs/>
                <w:szCs w:val="21"/>
              </w:rPr>
              <w:t>已有新的标准发布，见</w:t>
            </w:r>
            <w:r>
              <w:rPr>
                <w:rFonts w:ascii="宋体" w:hAnsi="宋体" w:cs="宋体"/>
                <w:bCs/>
                <w:szCs w:val="21"/>
              </w:rPr>
              <w:t>GY/T 274-2013</w:t>
            </w:r>
          </w:p>
        </w:tc>
      </w:tr>
      <w:tr>
        <w:tblPrEx>
          <w:tblLayout w:type="fixed"/>
          <w:tblCellMar>
            <w:top w:w="0" w:type="dxa"/>
            <w:left w:w="108" w:type="dxa"/>
            <w:bottom w:w="0" w:type="dxa"/>
            <w:right w:w="108" w:type="dxa"/>
          </w:tblCellMar>
        </w:tblPrEx>
        <w:trPr>
          <w:cantSplit/>
          <w:trHeight w:val="20" w:hRule="atLeast"/>
        </w:trPr>
        <w:tc>
          <w:tcPr>
            <w:tcW w:w="676" w:type="dxa"/>
            <w:tcBorders>
              <w:top w:val="nil"/>
              <w:left w:val="single" w:color="auto" w:sz="4" w:space="0"/>
              <w:bottom w:val="single" w:color="auto" w:sz="4" w:space="0"/>
              <w:right w:val="single" w:color="auto" w:sz="4" w:space="0"/>
            </w:tcBorders>
            <w:vAlign w:val="center"/>
          </w:tcPr>
          <w:p>
            <w:pPr>
              <w:jc w:val="center"/>
              <w:rPr>
                <w:rFonts w:ascii="宋体" w:cs="宋体"/>
                <w:bCs/>
                <w:color w:val="000000"/>
                <w:szCs w:val="21"/>
              </w:rPr>
            </w:pPr>
            <w:r>
              <w:rPr>
                <w:rFonts w:ascii="宋体" w:hAnsi="宋体" w:cs="宋体"/>
                <w:bCs/>
                <w:color w:val="000000"/>
                <w:szCs w:val="21"/>
              </w:rPr>
              <w:t>8</w:t>
            </w:r>
          </w:p>
        </w:tc>
        <w:tc>
          <w:tcPr>
            <w:tcW w:w="2552" w:type="dxa"/>
            <w:tcBorders>
              <w:top w:val="nil"/>
              <w:left w:val="nil"/>
              <w:bottom w:val="single" w:color="auto" w:sz="4" w:space="0"/>
              <w:right w:val="single" w:color="auto" w:sz="4" w:space="0"/>
            </w:tcBorders>
            <w:vAlign w:val="center"/>
          </w:tcPr>
          <w:p>
            <w:pPr>
              <w:rPr>
                <w:rFonts w:ascii="宋体" w:cs="宋体"/>
                <w:bCs/>
                <w:color w:val="000000"/>
                <w:szCs w:val="21"/>
              </w:rPr>
            </w:pPr>
            <w:r>
              <w:rPr>
                <w:rFonts w:ascii="宋体" w:hAnsi="宋体" w:cs="宋体"/>
                <w:bCs/>
                <w:color w:val="000000"/>
                <w:szCs w:val="21"/>
              </w:rPr>
              <w:t>GB/T 9003-1988</w:t>
            </w:r>
          </w:p>
        </w:tc>
        <w:tc>
          <w:tcPr>
            <w:tcW w:w="340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调音台基本特性测量方法</w:t>
            </w:r>
          </w:p>
        </w:tc>
        <w:tc>
          <w:tcPr>
            <w:tcW w:w="486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规定了专业用及其他用途的调音台基本特性的测量方法。</w:t>
            </w:r>
          </w:p>
        </w:tc>
        <w:tc>
          <w:tcPr>
            <w:tcW w:w="2682" w:type="dxa"/>
            <w:tcBorders>
              <w:top w:val="nil"/>
              <w:left w:val="nil"/>
              <w:bottom w:val="single" w:color="auto" w:sz="4" w:space="0"/>
              <w:right w:val="single" w:color="auto" w:sz="4" w:space="0"/>
            </w:tcBorders>
            <w:vAlign w:val="center"/>
          </w:tcPr>
          <w:p>
            <w:pPr>
              <w:rPr>
                <w:rFonts w:ascii="宋体" w:cs="宋体"/>
                <w:bCs/>
                <w:szCs w:val="21"/>
              </w:rPr>
            </w:pPr>
            <w:r>
              <w:rPr>
                <w:rFonts w:hint="eastAsia" w:ascii="宋体" w:hAnsi="宋体" w:cs="宋体"/>
                <w:bCs/>
                <w:szCs w:val="21"/>
              </w:rPr>
              <w:t>已有新的标准发布，见</w:t>
            </w:r>
            <w:r>
              <w:rPr>
                <w:rFonts w:ascii="宋体" w:hAnsi="宋体" w:cs="宋体"/>
                <w:bCs/>
                <w:szCs w:val="21"/>
              </w:rPr>
              <w:t>GY/T 274-2013</w:t>
            </w:r>
          </w:p>
        </w:tc>
      </w:tr>
      <w:tr>
        <w:tblPrEx>
          <w:tblLayout w:type="fixed"/>
          <w:tblCellMar>
            <w:top w:w="0" w:type="dxa"/>
            <w:left w:w="108" w:type="dxa"/>
            <w:bottom w:w="0" w:type="dxa"/>
            <w:right w:w="108" w:type="dxa"/>
          </w:tblCellMar>
        </w:tblPrEx>
        <w:trPr>
          <w:cantSplit/>
          <w:trHeight w:val="20" w:hRule="atLeast"/>
        </w:trPr>
        <w:tc>
          <w:tcPr>
            <w:tcW w:w="676" w:type="dxa"/>
            <w:tcBorders>
              <w:top w:val="nil"/>
              <w:left w:val="single" w:color="auto" w:sz="4" w:space="0"/>
              <w:bottom w:val="single" w:color="auto" w:sz="4" w:space="0"/>
              <w:right w:val="single" w:color="auto" w:sz="4" w:space="0"/>
            </w:tcBorders>
            <w:vAlign w:val="center"/>
          </w:tcPr>
          <w:p>
            <w:pPr>
              <w:jc w:val="center"/>
              <w:rPr>
                <w:rFonts w:ascii="宋体" w:cs="宋体"/>
                <w:bCs/>
                <w:color w:val="000000"/>
                <w:szCs w:val="21"/>
              </w:rPr>
            </w:pPr>
            <w:r>
              <w:rPr>
                <w:rFonts w:ascii="宋体" w:hAnsi="宋体" w:cs="宋体"/>
                <w:bCs/>
                <w:color w:val="000000"/>
                <w:szCs w:val="21"/>
              </w:rPr>
              <w:t>9</w:t>
            </w:r>
          </w:p>
        </w:tc>
        <w:tc>
          <w:tcPr>
            <w:tcW w:w="2552" w:type="dxa"/>
            <w:tcBorders>
              <w:top w:val="nil"/>
              <w:left w:val="nil"/>
              <w:bottom w:val="single" w:color="auto" w:sz="4" w:space="0"/>
              <w:right w:val="single" w:color="auto" w:sz="4" w:space="0"/>
            </w:tcBorders>
            <w:vAlign w:val="center"/>
          </w:tcPr>
          <w:p>
            <w:pPr>
              <w:rPr>
                <w:rFonts w:ascii="宋体" w:cs="宋体"/>
                <w:bCs/>
                <w:color w:val="000000"/>
                <w:szCs w:val="21"/>
              </w:rPr>
            </w:pPr>
            <w:r>
              <w:rPr>
                <w:rFonts w:ascii="宋体" w:hAnsi="宋体" w:cs="宋体"/>
                <w:bCs/>
                <w:color w:val="000000"/>
                <w:szCs w:val="21"/>
              </w:rPr>
              <w:t>GB/T 15640-1995</w:t>
            </w:r>
          </w:p>
        </w:tc>
        <w:tc>
          <w:tcPr>
            <w:tcW w:w="340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调音台通用技术条件</w:t>
            </w:r>
          </w:p>
        </w:tc>
        <w:tc>
          <w:tcPr>
            <w:tcW w:w="486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规定了调音台的分类、技术要求、试验方法、检验规则和标志、包装、运输、贮存要求。</w:t>
            </w:r>
          </w:p>
        </w:tc>
        <w:tc>
          <w:tcPr>
            <w:tcW w:w="2682" w:type="dxa"/>
            <w:tcBorders>
              <w:top w:val="nil"/>
              <w:left w:val="nil"/>
              <w:bottom w:val="single" w:color="auto" w:sz="4" w:space="0"/>
              <w:right w:val="single" w:color="auto" w:sz="4" w:space="0"/>
            </w:tcBorders>
            <w:vAlign w:val="center"/>
          </w:tcPr>
          <w:p>
            <w:pPr>
              <w:rPr>
                <w:rFonts w:ascii="宋体" w:cs="宋体"/>
                <w:bCs/>
                <w:szCs w:val="21"/>
              </w:rPr>
            </w:pPr>
            <w:r>
              <w:rPr>
                <w:rFonts w:hint="eastAsia" w:ascii="宋体" w:hAnsi="宋体" w:cs="宋体"/>
                <w:bCs/>
                <w:szCs w:val="21"/>
              </w:rPr>
              <w:t>已有新的标准发布，见</w:t>
            </w:r>
            <w:r>
              <w:rPr>
                <w:rFonts w:ascii="宋体" w:hAnsi="宋体" w:cs="宋体"/>
                <w:bCs/>
                <w:szCs w:val="21"/>
              </w:rPr>
              <w:t>GY/T 274-2013</w:t>
            </w:r>
          </w:p>
        </w:tc>
      </w:tr>
      <w:tr>
        <w:tblPrEx>
          <w:tblLayout w:type="fixed"/>
          <w:tblCellMar>
            <w:top w:w="0" w:type="dxa"/>
            <w:left w:w="108" w:type="dxa"/>
            <w:bottom w:w="0" w:type="dxa"/>
            <w:right w:w="108" w:type="dxa"/>
          </w:tblCellMar>
        </w:tblPrEx>
        <w:trPr>
          <w:cantSplit/>
          <w:trHeight w:val="20" w:hRule="atLeast"/>
        </w:trPr>
        <w:tc>
          <w:tcPr>
            <w:tcW w:w="676" w:type="dxa"/>
            <w:tcBorders>
              <w:top w:val="nil"/>
              <w:left w:val="single" w:color="auto" w:sz="4" w:space="0"/>
              <w:bottom w:val="single" w:color="auto" w:sz="4" w:space="0"/>
              <w:right w:val="single" w:color="auto" w:sz="4" w:space="0"/>
            </w:tcBorders>
            <w:vAlign w:val="center"/>
          </w:tcPr>
          <w:p>
            <w:pPr>
              <w:jc w:val="center"/>
              <w:rPr>
                <w:rFonts w:ascii="宋体" w:cs="宋体"/>
                <w:bCs/>
                <w:color w:val="000000"/>
                <w:szCs w:val="21"/>
              </w:rPr>
            </w:pPr>
            <w:r>
              <w:rPr>
                <w:rFonts w:ascii="宋体" w:hAnsi="宋体" w:cs="宋体"/>
                <w:bCs/>
                <w:color w:val="000000"/>
                <w:szCs w:val="21"/>
              </w:rPr>
              <w:t>10</w:t>
            </w:r>
          </w:p>
        </w:tc>
        <w:tc>
          <w:tcPr>
            <w:tcW w:w="2552" w:type="dxa"/>
            <w:tcBorders>
              <w:top w:val="nil"/>
              <w:left w:val="nil"/>
              <w:bottom w:val="single" w:color="auto" w:sz="4" w:space="0"/>
              <w:right w:val="single" w:color="auto" w:sz="4" w:space="0"/>
            </w:tcBorders>
            <w:vAlign w:val="center"/>
          </w:tcPr>
          <w:p>
            <w:pPr>
              <w:rPr>
                <w:rFonts w:ascii="宋体" w:cs="宋体"/>
                <w:bCs/>
                <w:color w:val="000000"/>
                <w:szCs w:val="21"/>
              </w:rPr>
            </w:pPr>
            <w:r>
              <w:rPr>
                <w:rFonts w:ascii="宋体" w:hAnsi="宋体" w:cs="宋体"/>
                <w:bCs/>
                <w:color w:val="000000"/>
                <w:szCs w:val="21"/>
              </w:rPr>
              <w:t xml:space="preserve">GY/T 9-1983 </w:t>
            </w:r>
          </w:p>
        </w:tc>
        <w:tc>
          <w:tcPr>
            <w:tcW w:w="340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广播用盒式录音磁带的最低性能要求和测量方法</w:t>
            </w:r>
          </w:p>
        </w:tc>
        <w:tc>
          <w:tcPr>
            <w:tcW w:w="486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规定了广播系统中磁带宽度为</w:t>
            </w:r>
            <w:r>
              <w:rPr>
                <w:rFonts w:ascii="宋体" w:hAnsi="宋体" w:cs="宋体"/>
                <w:bCs/>
                <w:color w:val="000000"/>
                <w:szCs w:val="21"/>
              </w:rPr>
              <w:t>3.81mm</w:t>
            </w:r>
            <w:r>
              <w:rPr>
                <w:rFonts w:hint="eastAsia" w:ascii="宋体" w:hAnsi="宋体" w:cs="宋体"/>
                <w:bCs/>
                <w:color w:val="000000"/>
                <w:szCs w:val="21"/>
              </w:rPr>
              <w:t>的盒式磁带的最低性能要求及测量方法。</w:t>
            </w:r>
          </w:p>
        </w:tc>
        <w:tc>
          <w:tcPr>
            <w:tcW w:w="2682" w:type="dxa"/>
            <w:tcBorders>
              <w:top w:val="nil"/>
              <w:left w:val="nil"/>
              <w:bottom w:val="single" w:color="auto" w:sz="4" w:space="0"/>
              <w:right w:val="single" w:color="auto" w:sz="4" w:space="0"/>
            </w:tcBorders>
            <w:vAlign w:val="center"/>
          </w:tcPr>
          <w:p>
            <w:pPr>
              <w:rPr>
                <w:rFonts w:ascii="宋体" w:cs="宋体"/>
                <w:bCs/>
                <w:szCs w:val="21"/>
              </w:rPr>
            </w:pPr>
            <w:r>
              <w:rPr>
                <w:rFonts w:hint="eastAsia" w:ascii="宋体" w:hAnsi="宋体" w:cs="宋体"/>
                <w:bCs/>
                <w:szCs w:val="21"/>
              </w:rPr>
              <w:t>技术过时落后</w:t>
            </w:r>
          </w:p>
        </w:tc>
      </w:tr>
      <w:tr>
        <w:tblPrEx>
          <w:tblLayout w:type="fixed"/>
          <w:tblCellMar>
            <w:top w:w="0" w:type="dxa"/>
            <w:left w:w="108" w:type="dxa"/>
            <w:bottom w:w="0" w:type="dxa"/>
            <w:right w:w="108" w:type="dxa"/>
          </w:tblCellMar>
        </w:tblPrEx>
        <w:trPr>
          <w:cantSplit/>
          <w:trHeight w:val="20" w:hRule="atLeast"/>
        </w:trPr>
        <w:tc>
          <w:tcPr>
            <w:tcW w:w="676" w:type="dxa"/>
            <w:tcBorders>
              <w:top w:val="nil"/>
              <w:left w:val="single" w:color="auto" w:sz="4" w:space="0"/>
              <w:bottom w:val="single" w:color="auto" w:sz="4" w:space="0"/>
              <w:right w:val="single" w:color="auto" w:sz="4" w:space="0"/>
            </w:tcBorders>
            <w:vAlign w:val="center"/>
          </w:tcPr>
          <w:p>
            <w:pPr>
              <w:jc w:val="center"/>
              <w:rPr>
                <w:rFonts w:ascii="宋体" w:cs="宋体"/>
                <w:bCs/>
                <w:color w:val="000000"/>
                <w:szCs w:val="21"/>
              </w:rPr>
            </w:pPr>
            <w:r>
              <w:rPr>
                <w:rFonts w:ascii="宋体" w:hAnsi="宋体" w:cs="宋体"/>
                <w:bCs/>
                <w:color w:val="000000"/>
                <w:szCs w:val="21"/>
              </w:rPr>
              <w:t>11</w:t>
            </w:r>
          </w:p>
        </w:tc>
        <w:tc>
          <w:tcPr>
            <w:tcW w:w="2552" w:type="dxa"/>
            <w:tcBorders>
              <w:top w:val="nil"/>
              <w:left w:val="nil"/>
              <w:bottom w:val="single" w:color="auto" w:sz="4" w:space="0"/>
              <w:right w:val="single" w:color="auto" w:sz="4" w:space="0"/>
            </w:tcBorders>
            <w:vAlign w:val="center"/>
          </w:tcPr>
          <w:p>
            <w:pPr>
              <w:rPr>
                <w:rFonts w:ascii="宋体" w:cs="宋体"/>
                <w:bCs/>
                <w:color w:val="000000"/>
                <w:szCs w:val="21"/>
              </w:rPr>
            </w:pPr>
            <w:r>
              <w:rPr>
                <w:rFonts w:ascii="宋体" w:hAnsi="宋体" w:cs="宋体"/>
                <w:bCs/>
                <w:color w:val="000000"/>
                <w:szCs w:val="21"/>
              </w:rPr>
              <w:t>GY/T 48-1988</w:t>
            </w:r>
          </w:p>
        </w:tc>
        <w:tc>
          <w:tcPr>
            <w:tcW w:w="340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盒式音带复制系统技术要求</w:t>
            </w:r>
          </w:p>
        </w:tc>
        <w:tc>
          <w:tcPr>
            <w:tcW w:w="486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规定了生产磁带带宽为</w:t>
            </w:r>
            <w:r>
              <w:rPr>
                <w:rFonts w:ascii="宋体" w:hAnsi="宋体" w:cs="宋体"/>
                <w:bCs/>
                <w:color w:val="000000"/>
                <w:szCs w:val="21"/>
              </w:rPr>
              <w:t>3.81mm</w:t>
            </w:r>
            <w:r>
              <w:rPr>
                <w:rFonts w:hint="eastAsia" w:ascii="宋体" w:hAnsi="宋体" w:cs="宋体"/>
                <w:bCs/>
                <w:color w:val="000000"/>
                <w:szCs w:val="21"/>
              </w:rPr>
              <w:t>的盒式音带的复制系统相关性能及测试的技术要求。</w:t>
            </w:r>
            <w:r>
              <w:rPr>
                <w:rFonts w:ascii="宋体" w:hAnsi="宋体" w:cs="宋体"/>
                <w:bCs/>
                <w:color w:val="000000"/>
                <w:szCs w:val="21"/>
              </w:rPr>
              <w:t xml:space="preserve"> </w:t>
            </w:r>
          </w:p>
        </w:tc>
        <w:tc>
          <w:tcPr>
            <w:tcW w:w="2682" w:type="dxa"/>
            <w:tcBorders>
              <w:top w:val="nil"/>
              <w:left w:val="nil"/>
              <w:bottom w:val="single" w:color="auto" w:sz="4" w:space="0"/>
              <w:right w:val="single" w:color="auto" w:sz="4" w:space="0"/>
            </w:tcBorders>
            <w:vAlign w:val="center"/>
          </w:tcPr>
          <w:p>
            <w:pPr>
              <w:rPr>
                <w:rFonts w:ascii="宋体" w:cs="宋体"/>
                <w:bCs/>
                <w:szCs w:val="21"/>
              </w:rPr>
            </w:pPr>
            <w:r>
              <w:rPr>
                <w:rFonts w:hint="eastAsia" w:ascii="宋体" w:hAnsi="宋体" w:cs="宋体"/>
                <w:bCs/>
                <w:szCs w:val="21"/>
              </w:rPr>
              <w:t>技术过时落后</w:t>
            </w:r>
          </w:p>
        </w:tc>
      </w:tr>
      <w:tr>
        <w:tblPrEx>
          <w:tblLayout w:type="fixed"/>
          <w:tblCellMar>
            <w:top w:w="0" w:type="dxa"/>
            <w:left w:w="108" w:type="dxa"/>
            <w:bottom w:w="0" w:type="dxa"/>
            <w:right w:w="108" w:type="dxa"/>
          </w:tblCellMar>
        </w:tblPrEx>
        <w:trPr>
          <w:cantSplit/>
          <w:trHeight w:val="488" w:hRule="atLeast"/>
        </w:trPr>
        <w:tc>
          <w:tcPr>
            <w:tcW w:w="676" w:type="dxa"/>
            <w:tcBorders>
              <w:top w:val="nil"/>
              <w:left w:val="single" w:color="auto" w:sz="4" w:space="0"/>
              <w:bottom w:val="single" w:color="auto" w:sz="4" w:space="0"/>
              <w:right w:val="single" w:color="auto" w:sz="4" w:space="0"/>
            </w:tcBorders>
            <w:vAlign w:val="center"/>
          </w:tcPr>
          <w:p>
            <w:pPr>
              <w:jc w:val="center"/>
              <w:rPr>
                <w:rFonts w:ascii="宋体" w:cs="宋体"/>
                <w:bCs/>
                <w:color w:val="000000"/>
                <w:szCs w:val="21"/>
              </w:rPr>
            </w:pPr>
            <w:r>
              <w:rPr>
                <w:rFonts w:ascii="宋体" w:hAnsi="宋体" w:cs="宋体"/>
                <w:bCs/>
                <w:color w:val="000000"/>
                <w:szCs w:val="21"/>
              </w:rPr>
              <w:t>12</w:t>
            </w:r>
          </w:p>
        </w:tc>
        <w:tc>
          <w:tcPr>
            <w:tcW w:w="2552" w:type="dxa"/>
            <w:tcBorders>
              <w:top w:val="nil"/>
              <w:left w:val="nil"/>
              <w:bottom w:val="single" w:color="auto" w:sz="4" w:space="0"/>
              <w:right w:val="single" w:color="auto" w:sz="4" w:space="0"/>
            </w:tcBorders>
            <w:vAlign w:val="center"/>
          </w:tcPr>
          <w:p>
            <w:pPr>
              <w:rPr>
                <w:rFonts w:ascii="宋体" w:cs="宋体"/>
                <w:bCs/>
                <w:color w:val="000000"/>
                <w:szCs w:val="21"/>
              </w:rPr>
            </w:pPr>
            <w:r>
              <w:rPr>
                <w:rFonts w:ascii="宋体" w:hAnsi="宋体" w:cs="宋体"/>
                <w:bCs/>
                <w:color w:val="000000"/>
                <w:szCs w:val="21"/>
              </w:rPr>
              <w:t>GY/T 84-1989</w:t>
            </w:r>
          </w:p>
        </w:tc>
        <w:tc>
          <w:tcPr>
            <w:tcW w:w="340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盒式音带复制系统技术要求</w:t>
            </w:r>
          </w:p>
        </w:tc>
        <w:tc>
          <w:tcPr>
            <w:tcW w:w="4862" w:type="dxa"/>
            <w:tcBorders>
              <w:top w:val="nil"/>
              <w:left w:val="nil"/>
              <w:bottom w:val="single" w:color="auto" w:sz="4" w:space="0"/>
              <w:right w:val="single" w:color="auto" w:sz="4" w:space="0"/>
            </w:tcBorders>
            <w:vAlign w:val="center"/>
          </w:tcPr>
          <w:p>
            <w:pPr>
              <w:rPr>
                <w:rFonts w:ascii="宋体" w:cs="宋体"/>
                <w:bCs/>
                <w:color w:val="000000"/>
                <w:szCs w:val="21"/>
              </w:rPr>
            </w:pPr>
          </w:p>
        </w:tc>
        <w:tc>
          <w:tcPr>
            <w:tcW w:w="2682" w:type="dxa"/>
            <w:tcBorders>
              <w:top w:val="nil"/>
              <w:left w:val="nil"/>
              <w:bottom w:val="single" w:color="auto" w:sz="4" w:space="0"/>
              <w:right w:val="single" w:color="auto" w:sz="4" w:space="0"/>
            </w:tcBorders>
            <w:vAlign w:val="center"/>
          </w:tcPr>
          <w:p>
            <w:pPr>
              <w:rPr>
                <w:rFonts w:ascii="宋体" w:cs="宋体"/>
                <w:bCs/>
                <w:szCs w:val="21"/>
              </w:rPr>
            </w:pPr>
            <w:r>
              <w:rPr>
                <w:rFonts w:hint="eastAsia" w:ascii="宋体" w:hAnsi="宋体" w:cs="宋体"/>
                <w:bCs/>
                <w:szCs w:val="21"/>
              </w:rPr>
              <w:t>技术过时落后</w:t>
            </w:r>
          </w:p>
        </w:tc>
      </w:tr>
      <w:tr>
        <w:tblPrEx>
          <w:tblLayout w:type="fixed"/>
          <w:tblCellMar>
            <w:top w:w="0" w:type="dxa"/>
            <w:left w:w="108" w:type="dxa"/>
            <w:bottom w:w="0" w:type="dxa"/>
            <w:right w:w="108" w:type="dxa"/>
          </w:tblCellMar>
        </w:tblPrEx>
        <w:trPr>
          <w:cantSplit/>
          <w:trHeight w:val="20" w:hRule="atLeast"/>
        </w:trPr>
        <w:tc>
          <w:tcPr>
            <w:tcW w:w="676" w:type="dxa"/>
            <w:tcBorders>
              <w:top w:val="nil"/>
              <w:left w:val="single" w:color="auto" w:sz="4" w:space="0"/>
              <w:bottom w:val="single" w:color="auto" w:sz="4" w:space="0"/>
              <w:right w:val="single" w:color="auto" w:sz="4" w:space="0"/>
            </w:tcBorders>
            <w:vAlign w:val="center"/>
          </w:tcPr>
          <w:p>
            <w:pPr>
              <w:jc w:val="center"/>
              <w:rPr>
                <w:rFonts w:ascii="宋体" w:cs="宋体"/>
                <w:bCs/>
                <w:color w:val="000000"/>
                <w:szCs w:val="21"/>
              </w:rPr>
            </w:pPr>
            <w:r>
              <w:rPr>
                <w:rFonts w:ascii="宋体" w:hAnsi="宋体" w:cs="宋体"/>
                <w:bCs/>
                <w:color w:val="000000"/>
                <w:szCs w:val="21"/>
              </w:rPr>
              <w:t>13</w:t>
            </w:r>
          </w:p>
        </w:tc>
        <w:tc>
          <w:tcPr>
            <w:tcW w:w="2552" w:type="dxa"/>
            <w:tcBorders>
              <w:top w:val="nil"/>
              <w:left w:val="nil"/>
              <w:bottom w:val="single" w:color="auto" w:sz="4" w:space="0"/>
              <w:right w:val="single" w:color="auto" w:sz="4" w:space="0"/>
            </w:tcBorders>
            <w:vAlign w:val="center"/>
          </w:tcPr>
          <w:p>
            <w:pPr>
              <w:rPr>
                <w:rFonts w:ascii="宋体" w:cs="宋体"/>
                <w:bCs/>
                <w:color w:val="000000"/>
                <w:szCs w:val="21"/>
              </w:rPr>
            </w:pPr>
            <w:r>
              <w:rPr>
                <w:rFonts w:ascii="宋体" w:hAnsi="宋体" w:cs="宋体"/>
                <w:bCs/>
                <w:color w:val="000000"/>
                <w:szCs w:val="21"/>
              </w:rPr>
              <w:t xml:space="preserve">GY/T 54-1989 </w:t>
            </w:r>
          </w:p>
        </w:tc>
        <w:tc>
          <w:tcPr>
            <w:tcW w:w="340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广播传音电缆维护规程</w:t>
            </w:r>
          </w:p>
        </w:tc>
        <w:tc>
          <w:tcPr>
            <w:tcW w:w="486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其内容包括广播传音电缆线路维护的一般规定、运行技术参数以及附属设施的维护、故障的抢修等。</w:t>
            </w:r>
          </w:p>
        </w:tc>
        <w:tc>
          <w:tcPr>
            <w:tcW w:w="2682" w:type="dxa"/>
            <w:tcBorders>
              <w:top w:val="nil"/>
              <w:left w:val="nil"/>
              <w:bottom w:val="single" w:color="auto" w:sz="4" w:space="0"/>
              <w:right w:val="single" w:color="auto" w:sz="4" w:space="0"/>
            </w:tcBorders>
            <w:vAlign w:val="center"/>
          </w:tcPr>
          <w:p>
            <w:pPr>
              <w:rPr>
                <w:rFonts w:ascii="宋体" w:cs="宋体"/>
                <w:bCs/>
                <w:szCs w:val="21"/>
              </w:rPr>
            </w:pPr>
            <w:r>
              <w:rPr>
                <w:rFonts w:hint="eastAsia" w:ascii="宋体" w:hAnsi="宋体" w:cs="宋体"/>
                <w:bCs/>
                <w:szCs w:val="21"/>
              </w:rPr>
              <w:t>技术过时落后</w:t>
            </w:r>
          </w:p>
        </w:tc>
      </w:tr>
      <w:tr>
        <w:tblPrEx>
          <w:tblLayout w:type="fixed"/>
          <w:tblCellMar>
            <w:top w:w="0" w:type="dxa"/>
            <w:left w:w="108" w:type="dxa"/>
            <w:bottom w:w="0" w:type="dxa"/>
            <w:right w:w="108" w:type="dxa"/>
          </w:tblCellMar>
        </w:tblPrEx>
        <w:trPr>
          <w:cantSplit/>
          <w:trHeight w:val="20" w:hRule="atLeast"/>
        </w:trPr>
        <w:tc>
          <w:tcPr>
            <w:tcW w:w="676" w:type="dxa"/>
            <w:tcBorders>
              <w:top w:val="nil"/>
              <w:left w:val="single" w:color="auto" w:sz="4" w:space="0"/>
              <w:bottom w:val="single" w:color="auto" w:sz="4" w:space="0"/>
              <w:right w:val="single" w:color="auto" w:sz="4" w:space="0"/>
            </w:tcBorders>
            <w:vAlign w:val="center"/>
          </w:tcPr>
          <w:p>
            <w:pPr>
              <w:jc w:val="center"/>
              <w:rPr>
                <w:rFonts w:ascii="宋体" w:cs="宋体"/>
                <w:bCs/>
                <w:color w:val="000000"/>
                <w:szCs w:val="21"/>
              </w:rPr>
            </w:pPr>
            <w:r>
              <w:rPr>
                <w:rFonts w:ascii="宋体" w:hAnsi="宋体" w:cs="宋体"/>
                <w:bCs/>
                <w:color w:val="000000"/>
                <w:szCs w:val="21"/>
              </w:rPr>
              <w:t>14</w:t>
            </w:r>
          </w:p>
        </w:tc>
        <w:tc>
          <w:tcPr>
            <w:tcW w:w="2552" w:type="dxa"/>
            <w:tcBorders>
              <w:top w:val="nil"/>
              <w:left w:val="nil"/>
              <w:bottom w:val="single" w:color="auto" w:sz="4" w:space="0"/>
              <w:right w:val="single" w:color="auto" w:sz="4" w:space="0"/>
            </w:tcBorders>
            <w:vAlign w:val="center"/>
          </w:tcPr>
          <w:p>
            <w:pPr>
              <w:rPr>
                <w:rFonts w:ascii="宋体" w:cs="宋体"/>
                <w:bCs/>
                <w:color w:val="000000"/>
                <w:szCs w:val="21"/>
              </w:rPr>
            </w:pPr>
            <w:r>
              <w:rPr>
                <w:rFonts w:ascii="宋体" w:hAnsi="宋体" w:cs="宋体"/>
                <w:bCs/>
                <w:color w:val="000000"/>
                <w:szCs w:val="21"/>
              </w:rPr>
              <w:t>GY/T 55-1989</w:t>
            </w:r>
          </w:p>
        </w:tc>
        <w:tc>
          <w:tcPr>
            <w:tcW w:w="340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广播线路放大器和限制放大器运行技术指标等级</w:t>
            </w:r>
          </w:p>
        </w:tc>
        <w:tc>
          <w:tcPr>
            <w:tcW w:w="486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规定了广播线路放大器和限制器的运行技术指标等级。</w:t>
            </w:r>
          </w:p>
        </w:tc>
        <w:tc>
          <w:tcPr>
            <w:tcW w:w="2682" w:type="dxa"/>
            <w:tcBorders>
              <w:top w:val="nil"/>
              <w:left w:val="nil"/>
              <w:bottom w:val="single" w:color="auto" w:sz="4" w:space="0"/>
              <w:right w:val="single" w:color="auto" w:sz="4" w:space="0"/>
            </w:tcBorders>
            <w:vAlign w:val="center"/>
          </w:tcPr>
          <w:p>
            <w:r>
              <w:rPr>
                <w:rFonts w:hint="eastAsia" w:ascii="宋体" w:hAnsi="宋体" w:cs="宋体"/>
                <w:bCs/>
                <w:szCs w:val="21"/>
              </w:rPr>
              <w:t>技术过时落后</w:t>
            </w:r>
          </w:p>
        </w:tc>
      </w:tr>
      <w:tr>
        <w:tblPrEx>
          <w:tblLayout w:type="fixed"/>
          <w:tblCellMar>
            <w:top w:w="0" w:type="dxa"/>
            <w:left w:w="108" w:type="dxa"/>
            <w:bottom w:w="0" w:type="dxa"/>
            <w:right w:w="108" w:type="dxa"/>
          </w:tblCellMar>
        </w:tblPrEx>
        <w:trPr>
          <w:cantSplit/>
          <w:trHeight w:val="20" w:hRule="atLeast"/>
        </w:trPr>
        <w:tc>
          <w:tcPr>
            <w:tcW w:w="676" w:type="dxa"/>
            <w:tcBorders>
              <w:top w:val="nil"/>
              <w:left w:val="single" w:color="auto" w:sz="4" w:space="0"/>
              <w:bottom w:val="single" w:color="auto" w:sz="4" w:space="0"/>
              <w:right w:val="single" w:color="auto" w:sz="4" w:space="0"/>
            </w:tcBorders>
            <w:vAlign w:val="center"/>
          </w:tcPr>
          <w:p>
            <w:pPr>
              <w:jc w:val="center"/>
              <w:rPr>
                <w:rFonts w:ascii="宋体" w:cs="宋体"/>
                <w:bCs/>
                <w:color w:val="000000"/>
                <w:szCs w:val="21"/>
              </w:rPr>
            </w:pPr>
            <w:r>
              <w:rPr>
                <w:rFonts w:ascii="宋体" w:hAnsi="宋体" w:cs="宋体"/>
                <w:bCs/>
                <w:color w:val="000000"/>
                <w:szCs w:val="21"/>
              </w:rPr>
              <w:t>15</w:t>
            </w:r>
          </w:p>
        </w:tc>
        <w:tc>
          <w:tcPr>
            <w:tcW w:w="2552" w:type="dxa"/>
            <w:tcBorders>
              <w:top w:val="nil"/>
              <w:left w:val="nil"/>
              <w:bottom w:val="single" w:color="auto" w:sz="4" w:space="0"/>
              <w:right w:val="single" w:color="auto" w:sz="4" w:space="0"/>
            </w:tcBorders>
            <w:vAlign w:val="center"/>
          </w:tcPr>
          <w:p>
            <w:pPr>
              <w:rPr>
                <w:rFonts w:ascii="宋体" w:cs="宋体"/>
                <w:bCs/>
                <w:color w:val="000000"/>
                <w:szCs w:val="21"/>
              </w:rPr>
            </w:pPr>
            <w:r>
              <w:rPr>
                <w:rFonts w:ascii="宋体" w:hAnsi="宋体" w:cs="宋体"/>
                <w:bCs/>
                <w:color w:val="000000"/>
                <w:szCs w:val="21"/>
              </w:rPr>
              <w:t xml:space="preserve">GY/T 56-1989 </w:t>
            </w:r>
          </w:p>
        </w:tc>
        <w:tc>
          <w:tcPr>
            <w:tcW w:w="340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广播线路放大器和限制放大器运行技术指标测量方法</w:t>
            </w:r>
          </w:p>
        </w:tc>
        <w:tc>
          <w:tcPr>
            <w:tcW w:w="486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规定了在用的广播线路放大器和限制放大器运行技术指标测量方法。</w:t>
            </w:r>
          </w:p>
        </w:tc>
        <w:tc>
          <w:tcPr>
            <w:tcW w:w="2682" w:type="dxa"/>
            <w:tcBorders>
              <w:top w:val="nil"/>
              <w:left w:val="nil"/>
              <w:bottom w:val="single" w:color="auto" w:sz="4" w:space="0"/>
              <w:right w:val="single" w:color="auto" w:sz="4" w:space="0"/>
            </w:tcBorders>
            <w:vAlign w:val="center"/>
          </w:tcPr>
          <w:p>
            <w:r>
              <w:rPr>
                <w:rFonts w:hint="eastAsia" w:ascii="宋体" w:hAnsi="宋体" w:cs="宋体"/>
                <w:bCs/>
                <w:szCs w:val="21"/>
              </w:rPr>
              <w:t>技术过时落后</w:t>
            </w:r>
          </w:p>
        </w:tc>
      </w:tr>
      <w:tr>
        <w:tblPrEx>
          <w:tblLayout w:type="fixed"/>
          <w:tblCellMar>
            <w:top w:w="0" w:type="dxa"/>
            <w:left w:w="108" w:type="dxa"/>
            <w:bottom w:w="0" w:type="dxa"/>
            <w:right w:w="108" w:type="dxa"/>
          </w:tblCellMar>
        </w:tblPrEx>
        <w:trPr>
          <w:cantSplit/>
          <w:trHeight w:val="20" w:hRule="atLeast"/>
        </w:trPr>
        <w:tc>
          <w:tcPr>
            <w:tcW w:w="676" w:type="dxa"/>
            <w:tcBorders>
              <w:top w:val="nil"/>
              <w:left w:val="single" w:color="auto" w:sz="4" w:space="0"/>
              <w:bottom w:val="single" w:color="auto" w:sz="4" w:space="0"/>
              <w:right w:val="single" w:color="auto" w:sz="4" w:space="0"/>
            </w:tcBorders>
            <w:vAlign w:val="center"/>
          </w:tcPr>
          <w:p>
            <w:pPr>
              <w:jc w:val="center"/>
              <w:rPr>
                <w:rFonts w:ascii="宋体" w:cs="宋体"/>
                <w:bCs/>
                <w:color w:val="000000"/>
                <w:szCs w:val="21"/>
              </w:rPr>
            </w:pPr>
            <w:r>
              <w:rPr>
                <w:rFonts w:ascii="宋体" w:hAnsi="宋体" w:cs="宋体"/>
                <w:bCs/>
                <w:color w:val="000000"/>
                <w:szCs w:val="21"/>
              </w:rPr>
              <w:t>16</w:t>
            </w:r>
          </w:p>
        </w:tc>
        <w:tc>
          <w:tcPr>
            <w:tcW w:w="2552" w:type="dxa"/>
            <w:tcBorders>
              <w:top w:val="nil"/>
              <w:left w:val="nil"/>
              <w:bottom w:val="single" w:color="auto" w:sz="4" w:space="0"/>
              <w:right w:val="single" w:color="auto" w:sz="4" w:space="0"/>
            </w:tcBorders>
            <w:vAlign w:val="center"/>
          </w:tcPr>
          <w:p>
            <w:pPr>
              <w:rPr>
                <w:rFonts w:ascii="宋体" w:cs="宋体"/>
                <w:bCs/>
                <w:color w:val="000000"/>
                <w:szCs w:val="21"/>
              </w:rPr>
            </w:pPr>
            <w:r>
              <w:rPr>
                <w:rFonts w:ascii="宋体" w:hAnsi="宋体" w:cs="宋体"/>
                <w:bCs/>
                <w:color w:val="000000"/>
                <w:szCs w:val="21"/>
              </w:rPr>
              <w:t>GY/T 78-1989</w:t>
            </w:r>
          </w:p>
        </w:tc>
        <w:tc>
          <w:tcPr>
            <w:tcW w:w="340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广播录音机技术运行技术指标等级</w:t>
            </w:r>
            <w:r>
              <w:rPr>
                <w:rFonts w:ascii="宋体" w:hAnsi="宋体" w:cs="宋体"/>
                <w:bCs/>
                <w:color w:val="000000"/>
                <w:szCs w:val="21"/>
              </w:rPr>
              <w:t>(</w:t>
            </w:r>
            <w:r>
              <w:rPr>
                <w:rFonts w:hint="eastAsia" w:ascii="宋体" w:hAnsi="宋体" w:cs="宋体"/>
                <w:bCs/>
                <w:color w:val="000000"/>
                <w:szCs w:val="21"/>
              </w:rPr>
              <w:t>单声和立体声</w:t>
            </w:r>
            <w:r>
              <w:rPr>
                <w:rFonts w:ascii="宋体" w:hAnsi="宋体" w:cs="宋体"/>
                <w:bCs/>
                <w:color w:val="000000"/>
                <w:szCs w:val="21"/>
              </w:rPr>
              <w:t>)</w:t>
            </w:r>
          </w:p>
        </w:tc>
        <w:tc>
          <w:tcPr>
            <w:tcW w:w="486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规定了磁带宽度为</w:t>
            </w:r>
            <w:r>
              <w:rPr>
                <w:rFonts w:ascii="宋体" w:hAnsi="宋体" w:cs="宋体"/>
                <w:bCs/>
                <w:color w:val="000000"/>
                <w:szCs w:val="21"/>
              </w:rPr>
              <w:t>6.30mm</w:t>
            </w:r>
            <w:r>
              <w:rPr>
                <w:rFonts w:hint="eastAsia" w:ascii="宋体" w:hAnsi="宋体" w:cs="宋体"/>
                <w:bCs/>
                <w:color w:val="000000"/>
                <w:szCs w:val="21"/>
              </w:rPr>
              <w:t>，带速为</w:t>
            </w:r>
            <w:r>
              <w:rPr>
                <w:rFonts w:ascii="宋体" w:hAnsi="宋体" w:cs="宋体"/>
                <w:bCs/>
                <w:color w:val="000000"/>
                <w:szCs w:val="21"/>
              </w:rPr>
              <w:t>38.1cm/s</w:t>
            </w:r>
            <w:r>
              <w:rPr>
                <w:rFonts w:hint="eastAsia" w:ascii="宋体" w:hAnsi="宋体" w:cs="宋体"/>
                <w:bCs/>
                <w:color w:val="000000"/>
                <w:szCs w:val="21"/>
              </w:rPr>
              <w:t>，</w:t>
            </w:r>
            <w:r>
              <w:rPr>
                <w:rFonts w:ascii="宋体" w:hAnsi="宋体" w:cs="宋体"/>
                <w:bCs/>
                <w:color w:val="000000"/>
                <w:szCs w:val="21"/>
              </w:rPr>
              <w:t>19.05cm/s</w:t>
            </w:r>
            <w:r>
              <w:rPr>
                <w:rFonts w:hint="eastAsia" w:ascii="宋体" w:hAnsi="宋体" w:cs="宋体"/>
                <w:bCs/>
                <w:color w:val="000000"/>
                <w:szCs w:val="21"/>
              </w:rPr>
              <w:t>，</w:t>
            </w:r>
            <w:r>
              <w:rPr>
                <w:rFonts w:ascii="宋体" w:hAnsi="宋体" w:cs="宋体"/>
                <w:bCs/>
                <w:color w:val="000000"/>
                <w:szCs w:val="21"/>
              </w:rPr>
              <w:t>9.53cm/s</w:t>
            </w:r>
            <w:r>
              <w:rPr>
                <w:rFonts w:hint="eastAsia" w:ascii="宋体" w:hAnsi="宋体" w:cs="宋体"/>
                <w:bCs/>
                <w:color w:val="000000"/>
                <w:szCs w:val="21"/>
              </w:rPr>
              <w:t>和磁带宽度为</w:t>
            </w:r>
            <w:r>
              <w:rPr>
                <w:rFonts w:ascii="宋体" w:hAnsi="宋体" w:cs="宋体"/>
                <w:bCs/>
                <w:color w:val="000000"/>
                <w:szCs w:val="21"/>
              </w:rPr>
              <w:t>3.81mm</w:t>
            </w:r>
            <w:r>
              <w:rPr>
                <w:rFonts w:hint="eastAsia" w:ascii="宋体" w:hAnsi="宋体" w:cs="宋体"/>
                <w:bCs/>
                <w:color w:val="000000"/>
                <w:szCs w:val="21"/>
              </w:rPr>
              <w:t>，带速为</w:t>
            </w:r>
            <w:r>
              <w:rPr>
                <w:rFonts w:ascii="宋体" w:hAnsi="宋体" w:cs="宋体"/>
                <w:bCs/>
                <w:color w:val="000000"/>
                <w:szCs w:val="21"/>
              </w:rPr>
              <w:t>4.76cm/s</w:t>
            </w:r>
            <w:r>
              <w:rPr>
                <w:rFonts w:hint="eastAsia" w:ascii="宋体" w:hAnsi="宋体" w:cs="宋体"/>
                <w:bCs/>
                <w:color w:val="000000"/>
                <w:szCs w:val="21"/>
              </w:rPr>
              <w:t>广播录音机在额定输出功率时的运行技术指标等级。</w:t>
            </w:r>
          </w:p>
        </w:tc>
        <w:tc>
          <w:tcPr>
            <w:tcW w:w="2682" w:type="dxa"/>
            <w:tcBorders>
              <w:top w:val="nil"/>
              <w:left w:val="nil"/>
              <w:bottom w:val="single" w:color="auto" w:sz="4" w:space="0"/>
              <w:right w:val="single" w:color="auto" w:sz="4" w:space="0"/>
            </w:tcBorders>
            <w:vAlign w:val="center"/>
          </w:tcPr>
          <w:p>
            <w:r>
              <w:rPr>
                <w:rFonts w:hint="eastAsia" w:ascii="宋体" w:hAnsi="宋体" w:cs="宋体"/>
                <w:bCs/>
                <w:szCs w:val="21"/>
              </w:rPr>
              <w:t>技术过时落后</w:t>
            </w:r>
          </w:p>
        </w:tc>
      </w:tr>
      <w:tr>
        <w:tblPrEx>
          <w:tblLayout w:type="fixed"/>
          <w:tblCellMar>
            <w:top w:w="0" w:type="dxa"/>
            <w:left w:w="108" w:type="dxa"/>
            <w:bottom w:w="0" w:type="dxa"/>
            <w:right w:w="108" w:type="dxa"/>
          </w:tblCellMar>
        </w:tblPrEx>
        <w:trPr>
          <w:cantSplit/>
          <w:trHeight w:val="20" w:hRule="atLeast"/>
        </w:trPr>
        <w:tc>
          <w:tcPr>
            <w:tcW w:w="676" w:type="dxa"/>
            <w:tcBorders>
              <w:top w:val="nil"/>
              <w:left w:val="single" w:color="auto" w:sz="4" w:space="0"/>
              <w:bottom w:val="single" w:color="auto" w:sz="4" w:space="0"/>
              <w:right w:val="single" w:color="auto" w:sz="4" w:space="0"/>
            </w:tcBorders>
            <w:vAlign w:val="center"/>
          </w:tcPr>
          <w:p>
            <w:pPr>
              <w:jc w:val="center"/>
              <w:rPr>
                <w:rFonts w:ascii="宋体" w:cs="宋体"/>
                <w:bCs/>
                <w:color w:val="000000"/>
                <w:szCs w:val="21"/>
              </w:rPr>
            </w:pPr>
            <w:r>
              <w:rPr>
                <w:rFonts w:ascii="宋体" w:hAnsi="宋体" w:cs="宋体"/>
                <w:bCs/>
                <w:color w:val="000000"/>
                <w:szCs w:val="21"/>
              </w:rPr>
              <w:t>17</w:t>
            </w:r>
          </w:p>
        </w:tc>
        <w:tc>
          <w:tcPr>
            <w:tcW w:w="2552" w:type="dxa"/>
            <w:tcBorders>
              <w:top w:val="nil"/>
              <w:left w:val="nil"/>
              <w:bottom w:val="single" w:color="auto" w:sz="4" w:space="0"/>
              <w:right w:val="single" w:color="auto" w:sz="4" w:space="0"/>
            </w:tcBorders>
            <w:vAlign w:val="center"/>
          </w:tcPr>
          <w:p>
            <w:pPr>
              <w:rPr>
                <w:rFonts w:ascii="宋体" w:cs="宋体"/>
                <w:bCs/>
                <w:color w:val="000000"/>
                <w:szCs w:val="21"/>
              </w:rPr>
            </w:pPr>
            <w:r>
              <w:rPr>
                <w:rFonts w:ascii="宋体" w:hAnsi="宋体" w:cs="宋体"/>
                <w:bCs/>
                <w:color w:val="000000"/>
                <w:szCs w:val="21"/>
              </w:rPr>
              <w:t>GY/T 83-1989</w:t>
            </w:r>
          </w:p>
        </w:tc>
        <w:tc>
          <w:tcPr>
            <w:tcW w:w="340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盒式音带盒到盒复制系统技术要求</w:t>
            </w:r>
          </w:p>
        </w:tc>
        <w:tc>
          <w:tcPr>
            <w:tcW w:w="486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规定了生产磁带宽为</w:t>
            </w:r>
            <w:r>
              <w:rPr>
                <w:rFonts w:ascii="宋体" w:hAnsi="宋体" w:cs="宋体"/>
                <w:bCs/>
                <w:color w:val="000000"/>
                <w:szCs w:val="21"/>
              </w:rPr>
              <w:t>3.81mm</w:t>
            </w:r>
            <w:r>
              <w:rPr>
                <w:rFonts w:hint="eastAsia" w:ascii="宋体" w:hAnsi="宋体" w:cs="宋体"/>
                <w:bCs/>
                <w:color w:val="000000"/>
                <w:szCs w:val="21"/>
              </w:rPr>
              <w:t>盒式语言带盒到盒复制系统相关性能及测试的技术要求。</w:t>
            </w:r>
          </w:p>
        </w:tc>
        <w:tc>
          <w:tcPr>
            <w:tcW w:w="2682" w:type="dxa"/>
            <w:tcBorders>
              <w:top w:val="nil"/>
              <w:left w:val="nil"/>
              <w:bottom w:val="single" w:color="auto" w:sz="4" w:space="0"/>
              <w:right w:val="single" w:color="auto" w:sz="4" w:space="0"/>
            </w:tcBorders>
            <w:vAlign w:val="center"/>
          </w:tcPr>
          <w:p>
            <w:r>
              <w:rPr>
                <w:rFonts w:hint="eastAsia" w:ascii="宋体" w:hAnsi="宋体" w:cs="宋体"/>
                <w:bCs/>
                <w:szCs w:val="21"/>
              </w:rPr>
              <w:t>技术过时落后</w:t>
            </w:r>
          </w:p>
        </w:tc>
      </w:tr>
      <w:tr>
        <w:tblPrEx>
          <w:tblLayout w:type="fixed"/>
          <w:tblCellMar>
            <w:top w:w="0" w:type="dxa"/>
            <w:left w:w="108" w:type="dxa"/>
            <w:bottom w:w="0" w:type="dxa"/>
            <w:right w:w="108" w:type="dxa"/>
          </w:tblCellMar>
        </w:tblPrEx>
        <w:trPr>
          <w:cantSplit/>
          <w:trHeight w:val="421" w:hRule="atLeast"/>
        </w:trPr>
        <w:tc>
          <w:tcPr>
            <w:tcW w:w="676" w:type="dxa"/>
            <w:tcBorders>
              <w:top w:val="nil"/>
              <w:left w:val="single" w:color="auto" w:sz="4" w:space="0"/>
              <w:bottom w:val="single" w:color="auto" w:sz="4" w:space="0"/>
              <w:right w:val="single" w:color="auto" w:sz="4" w:space="0"/>
            </w:tcBorders>
            <w:vAlign w:val="center"/>
          </w:tcPr>
          <w:p>
            <w:pPr>
              <w:jc w:val="center"/>
              <w:rPr>
                <w:rFonts w:ascii="宋体" w:cs="宋体"/>
                <w:bCs/>
                <w:color w:val="000000"/>
                <w:szCs w:val="21"/>
              </w:rPr>
            </w:pPr>
            <w:r>
              <w:rPr>
                <w:rFonts w:ascii="宋体" w:hAnsi="宋体" w:cs="宋体"/>
                <w:bCs/>
                <w:color w:val="000000"/>
                <w:szCs w:val="21"/>
              </w:rPr>
              <w:t>18</w:t>
            </w:r>
          </w:p>
        </w:tc>
        <w:tc>
          <w:tcPr>
            <w:tcW w:w="2552" w:type="dxa"/>
            <w:tcBorders>
              <w:top w:val="nil"/>
              <w:left w:val="nil"/>
              <w:bottom w:val="single" w:color="auto" w:sz="4" w:space="0"/>
              <w:right w:val="single" w:color="auto" w:sz="4" w:space="0"/>
            </w:tcBorders>
            <w:vAlign w:val="center"/>
          </w:tcPr>
          <w:p>
            <w:pPr>
              <w:rPr>
                <w:rFonts w:ascii="宋体" w:cs="宋体"/>
                <w:bCs/>
                <w:color w:val="000000"/>
                <w:szCs w:val="21"/>
              </w:rPr>
            </w:pPr>
            <w:r>
              <w:rPr>
                <w:rFonts w:ascii="宋体" w:hAnsi="宋体" w:cs="宋体"/>
                <w:bCs/>
                <w:color w:val="000000"/>
                <w:szCs w:val="21"/>
              </w:rPr>
              <w:t xml:space="preserve">GY/T 85-1989 </w:t>
            </w:r>
          </w:p>
        </w:tc>
        <w:tc>
          <w:tcPr>
            <w:tcW w:w="340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广播用电视图像监视器测量方法</w:t>
            </w:r>
          </w:p>
        </w:tc>
        <w:tc>
          <w:tcPr>
            <w:tcW w:w="486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规定了监视器基本性能的测试方法。</w:t>
            </w:r>
            <w:r>
              <w:rPr>
                <w:rFonts w:ascii="宋体" w:hAnsi="宋体" w:cs="宋体"/>
                <w:bCs/>
                <w:color w:val="000000"/>
                <w:szCs w:val="21"/>
              </w:rPr>
              <w:t xml:space="preserve"> </w:t>
            </w:r>
          </w:p>
        </w:tc>
        <w:tc>
          <w:tcPr>
            <w:tcW w:w="2682" w:type="dxa"/>
            <w:tcBorders>
              <w:top w:val="nil"/>
              <w:left w:val="nil"/>
              <w:bottom w:val="single" w:color="auto" w:sz="4" w:space="0"/>
              <w:right w:val="single" w:color="auto" w:sz="4" w:space="0"/>
            </w:tcBorders>
            <w:vAlign w:val="center"/>
          </w:tcPr>
          <w:p>
            <w:pPr>
              <w:rPr>
                <w:rFonts w:ascii="宋体" w:cs="宋体"/>
                <w:bCs/>
                <w:szCs w:val="21"/>
              </w:rPr>
            </w:pPr>
            <w:r>
              <w:rPr>
                <w:rFonts w:hint="eastAsia" w:ascii="宋体" w:hAnsi="宋体" w:cs="宋体"/>
                <w:bCs/>
                <w:szCs w:val="21"/>
              </w:rPr>
              <w:t>已有</w:t>
            </w:r>
            <w:r>
              <w:rPr>
                <w:rFonts w:ascii="宋体" w:hAnsi="宋体" w:cs="宋体"/>
                <w:bCs/>
                <w:szCs w:val="21"/>
              </w:rPr>
              <w:t>GY/T 284-2014</w:t>
            </w:r>
            <w:r>
              <w:rPr>
                <w:rFonts w:hint="eastAsia" w:ascii="宋体" w:hAnsi="宋体" w:cs="宋体"/>
                <w:bCs/>
                <w:szCs w:val="21"/>
              </w:rPr>
              <w:t>替代</w:t>
            </w:r>
          </w:p>
        </w:tc>
      </w:tr>
      <w:tr>
        <w:tblPrEx>
          <w:tblLayout w:type="fixed"/>
          <w:tblCellMar>
            <w:top w:w="0" w:type="dxa"/>
            <w:left w:w="108" w:type="dxa"/>
            <w:bottom w:w="0" w:type="dxa"/>
            <w:right w:w="108" w:type="dxa"/>
          </w:tblCellMar>
        </w:tblPrEx>
        <w:trPr>
          <w:cantSplit/>
          <w:trHeight w:val="20" w:hRule="atLeast"/>
        </w:trPr>
        <w:tc>
          <w:tcPr>
            <w:tcW w:w="676" w:type="dxa"/>
            <w:tcBorders>
              <w:top w:val="nil"/>
              <w:left w:val="single" w:color="auto" w:sz="4" w:space="0"/>
              <w:bottom w:val="single" w:color="auto" w:sz="4" w:space="0"/>
              <w:right w:val="single" w:color="auto" w:sz="4" w:space="0"/>
            </w:tcBorders>
            <w:vAlign w:val="center"/>
          </w:tcPr>
          <w:p>
            <w:pPr>
              <w:jc w:val="center"/>
              <w:rPr>
                <w:rFonts w:ascii="宋体" w:cs="宋体"/>
                <w:bCs/>
                <w:color w:val="000000"/>
                <w:szCs w:val="21"/>
              </w:rPr>
            </w:pPr>
            <w:r>
              <w:rPr>
                <w:rFonts w:ascii="宋体" w:hAnsi="宋体" w:cs="宋体"/>
                <w:bCs/>
                <w:color w:val="000000"/>
                <w:szCs w:val="21"/>
              </w:rPr>
              <w:t>19</w:t>
            </w:r>
          </w:p>
        </w:tc>
        <w:tc>
          <w:tcPr>
            <w:tcW w:w="2552" w:type="dxa"/>
            <w:tcBorders>
              <w:top w:val="nil"/>
              <w:left w:val="nil"/>
              <w:bottom w:val="single" w:color="auto" w:sz="4" w:space="0"/>
              <w:right w:val="single" w:color="auto" w:sz="4" w:space="0"/>
            </w:tcBorders>
            <w:vAlign w:val="center"/>
          </w:tcPr>
          <w:p>
            <w:pPr>
              <w:rPr>
                <w:rFonts w:ascii="宋体" w:cs="宋体"/>
                <w:bCs/>
                <w:color w:val="000000"/>
                <w:szCs w:val="21"/>
              </w:rPr>
            </w:pPr>
            <w:r>
              <w:rPr>
                <w:rFonts w:ascii="宋体" w:hAnsi="宋体" w:cs="宋体"/>
                <w:bCs/>
                <w:color w:val="000000"/>
                <w:szCs w:val="21"/>
              </w:rPr>
              <w:t>GY/T 107-1992</w:t>
            </w:r>
          </w:p>
        </w:tc>
        <w:tc>
          <w:tcPr>
            <w:tcW w:w="340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电视中心播控系统维护规程</w:t>
            </w:r>
          </w:p>
        </w:tc>
        <w:tc>
          <w:tcPr>
            <w:tcW w:w="4862" w:type="dxa"/>
            <w:tcBorders>
              <w:top w:val="nil"/>
              <w:left w:val="nil"/>
              <w:bottom w:val="single" w:color="auto" w:sz="4" w:space="0"/>
              <w:right w:val="single" w:color="auto" w:sz="4" w:space="0"/>
            </w:tcBorders>
            <w:vAlign w:val="center"/>
          </w:tcPr>
          <w:p>
            <w:pPr>
              <w:rPr>
                <w:rFonts w:ascii="宋体" w:cs="宋体"/>
                <w:bCs/>
                <w:color w:val="000000"/>
                <w:szCs w:val="21"/>
              </w:rPr>
            </w:pPr>
            <w:r>
              <w:rPr>
                <w:rFonts w:ascii="宋体" w:hAnsi="宋体" w:cs="宋体"/>
                <w:bCs/>
                <w:color w:val="000000"/>
                <w:szCs w:val="21"/>
              </w:rPr>
              <w:t xml:space="preserve">  </w:t>
            </w:r>
            <w:r>
              <w:rPr>
                <w:rFonts w:hint="eastAsia" w:ascii="宋体" w:hAnsi="宋体" w:cs="宋体"/>
                <w:bCs/>
                <w:color w:val="000000"/>
                <w:szCs w:val="21"/>
              </w:rPr>
              <w:t>规定了电视中心播控系统维护管理的范围、任务和要求，系统和主要设备的技术指标，停播事故、播出事故的定义和分类等内容。</w:t>
            </w:r>
          </w:p>
        </w:tc>
        <w:tc>
          <w:tcPr>
            <w:tcW w:w="2682" w:type="dxa"/>
            <w:tcBorders>
              <w:top w:val="nil"/>
              <w:left w:val="nil"/>
              <w:bottom w:val="single" w:color="auto" w:sz="4" w:space="0"/>
              <w:right w:val="single" w:color="auto" w:sz="4" w:space="0"/>
            </w:tcBorders>
            <w:vAlign w:val="center"/>
          </w:tcPr>
          <w:p>
            <w:pPr>
              <w:rPr>
                <w:rFonts w:ascii="宋体" w:cs="宋体"/>
                <w:bCs/>
                <w:szCs w:val="21"/>
              </w:rPr>
            </w:pPr>
            <w:r>
              <w:rPr>
                <w:rFonts w:hint="eastAsia" w:ascii="宋体" w:hAnsi="宋体" w:cs="宋体"/>
                <w:bCs/>
                <w:szCs w:val="21"/>
              </w:rPr>
              <w:t>已有新的行标计划在研，任务号为</w:t>
            </w:r>
            <w:r>
              <w:rPr>
                <w:rFonts w:ascii="宋体" w:hAnsi="宋体" w:cs="宋体"/>
                <w:bCs/>
                <w:szCs w:val="21"/>
              </w:rPr>
              <w:t>2009</w:t>
            </w:r>
            <w:r>
              <w:rPr>
                <w:rFonts w:hint="eastAsia" w:ascii="宋体" w:hAnsi="宋体" w:cs="宋体"/>
                <w:bCs/>
                <w:szCs w:val="21"/>
              </w:rPr>
              <w:t>年</w:t>
            </w:r>
            <w:r>
              <w:rPr>
                <w:rFonts w:ascii="宋体" w:hAnsi="宋体" w:cs="宋体"/>
                <w:bCs/>
                <w:szCs w:val="21"/>
              </w:rPr>
              <w:t>2009-06</w:t>
            </w:r>
          </w:p>
        </w:tc>
      </w:tr>
      <w:tr>
        <w:tblPrEx>
          <w:tblLayout w:type="fixed"/>
          <w:tblCellMar>
            <w:top w:w="0" w:type="dxa"/>
            <w:left w:w="108" w:type="dxa"/>
            <w:bottom w:w="0" w:type="dxa"/>
            <w:right w:w="108" w:type="dxa"/>
          </w:tblCellMar>
        </w:tblPrEx>
        <w:trPr>
          <w:cantSplit/>
          <w:trHeight w:val="20" w:hRule="atLeast"/>
        </w:trPr>
        <w:tc>
          <w:tcPr>
            <w:tcW w:w="676" w:type="dxa"/>
            <w:tcBorders>
              <w:top w:val="nil"/>
              <w:left w:val="single" w:color="auto" w:sz="4" w:space="0"/>
              <w:bottom w:val="single" w:color="auto" w:sz="4" w:space="0"/>
              <w:right w:val="single" w:color="auto" w:sz="4" w:space="0"/>
            </w:tcBorders>
            <w:vAlign w:val="center"/>
          </w:tcPr>
          <w:p>
            <w:pPr>
              <w:jc w:val="center"/>
              <w:rPr>
                <w:rFonts w:ascii="宋体" w:cs="宋体"/>
                <w:bCs/>
                <w:color w:val="000000"/>
                <w:szCs w:val="21"/>
              </w:rPr>
            </w:pPr>
            <w:r>
              <w:rPr>
                <w:rFonts w:ascii="宋体" w:hAnsi="宋体" w:cs="宋体"/>
                <w:bCs/>
                <w:color w:val="000000"/>
                <w:szCs w:val="21"/>
              </w:rPr>
              <w:t>20</w:t>
            </w:r>
          </w:p>
        </w:tc>
        <w:tc>
          <w:tcPr>
            <w:tcW w:w="2552" w:type="dxa"/>
            <w:tcBorders>
              <w:top w:val="nil"/>
              <w:left w:val="nil"/>
              <w:bottom w:val="single" w:color="auto" w:sz="4" w:space="0"/>
              <w:right w:val="single" w:color="auto" w:sz="4" w:space="0"/>
            </w:tcBorders>
            <w:vAlign w:val="center"/>
          </w:tcPr>
          <w:p>
            <w:pPr>
              <w:rPr>
                <w:rFonts w:ascii="宋体" w:cs="宋体"/>
                <w:bCs/>
                <w:color w:val="000000"/>
                <w:szCs w:val="21"/>
              </w:rPr>
            </w:pPr>
            <w:r>
              <w:rPr>
                <w:rFonts w:ascii="宋体" w:hAnsi="宋体" w:cs="宋体"/>
                <w:bCs/>
                <w:color w:val="000000"/>
                <w:szCs w:val="21"/>
              </w:rPr>
              <w:t xml:space="preserve">GY/T 109.1-1992 </w:t>
            </w:r>
          </w:p>
        </w:tc>
        <w:tc>
          <w:tcPr>
            <w:tcW w:w="340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广播用</w:t>
            </w:r>
            <w:r>
              <w:rPr>
                <w:rFonts w:ascii="宋体" w:hAnsi="宋体" w:cs="宋体"/>
                <w:bCs/>
                <w:color w:val="000000"/>
                <w:szCs w:val="21"/>
              </w:rPr>
              <w:t>CCD</w:t>
            </w:r>
            <w:r>
              <w:rPr>
                <w:rFonts w:hint="eastAsia" w:ascii="宋体" w:hAnsi="宋体" w:cs="宋体"/>
                <w:bCs/>
                <w:color w:val="000000"/>
                <w:szCs w:val="21"/>
              </w:rPr>
              <w:t>摄像系统通用技术条件</w:t>
            </w:r>
          </w:p>
        </w:tc>
        <w:tc>
          <w:tcPr>
            <w:tcW w:w="486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规定了广播电视专用</w:t>
            </w:r>
            <w:r>
              <w:rPr>
                <w:rFonts w:ascii="宋体" w:hAnsi="宋体" w:cs="宋体"/>
                <w:bCs/>
                <w:color w:val="000000"/>
                <w:szCs w:val="21"/>
              </w:rPr>
              <w:t>CCD</w:t>
            </w:r>
            <w:r>
              <w:rPr>
                <w:rFonts w:hint="eastAsia" w:ascii="宋体" w:hAnsi="宋体" w:cs="宋体"/>
                <w:bCs/>
                <w:color w:val="000000"/>
                <w:szCs w:val="21"/>
              </w:rPr>
              <w:t>摄像系统应该具备的基本技术特性。</w:t>
            </w:r>
          </w:p>
        </w:tc>
        <w:tc>
          <w:tcPr>
            <w:tcW w:w="2682" w:type="dxa"/>
            <w:tcBorders>
              <w:top w:val="nil"/>
              <w:left w:val="nil"/>
              <w:bottom w:val="single" w:color="auto" w:sz="4" w:space="0"/>
              <w:right w:val="single" w:color="auto" w:sz="4" w:space="0"/>
            </w:tcBorders>
            <w:vAlign w:val="center"/>
          </w:tcPr>
          <w:p>
            <w:pPr>
              <w:rPr>
                <w:rFonts w:ascii="宋体" w:cs="宋体"/>
                <w:bCs/>
                <w:szCs w:val="21"/>
              </w:rPr>
            </w:pPr>
            <w:r>
              <w:rPr>
                <w:rFonts w:hint="eastAsia" w:ascii="宋体" w:hAnsi="宋体" w:cs="宋体"/>
                <w:bCs/>
                <w:szCs w:val="21"/>
              </w:rPr>
              <w:t>已有</w:t>
            </w:r>
            <w:r>
              <w:rPr>
                <w:rFonts w:ascii="宋体" w:hAnsi="宋体" w:cs="宋体"/>
                <w:bCs/>
                <w:szCs w:val="21"/>
              </w:rPr>
              <w:t>GY/T 295-2015</w:t>
            </w:r>
            <w:r>
              <w:rPr>
                <w:rFonts w:hint="eastAsia" w:ascii="宋体" w:hAnsi="宋体" w:cs="宋体"/>
                <w:bCs/>
                <w:szCs w:val="21"/>
              </w:rPr>
              <w:t>替代</w:t>
            </w:r>
          </w:p>
        </w:tc>
      </w:tr>
      <w:tr>
        <w:tblPrEx>
          <w:tblLayout w:type="fixed"/>
          <w:tblCellMar>
            <w:top w:w="0" w:type="dxa"/>
            <w:left w:w="108" w:type="dxa"/>
            <w:bottom w:w="0" w:type="dxa"/>
            <w:right w:w="108" w:type="dxa"/>
          </w:tblCellMar>
        </w:tblPrEx>
        <w:trPr>
          <w:cantSplit/>
          <w:trHeight w:val="20" w:hRule="atLeast"/>
        </w:trPr>
        <w:tc>
          <w:tcPr>
            <w:tcW w:w="676" w:type="dxa"/>
            <w:tcBorders>
              <w:top w:val="nil"/>
              <w:left w:val="single" w:color="auto" w:sz="4" w:space="0"/>
              <w:bottom w:val="single" w:color="auto" w:sz="4" w:space="0"/>
              <w:right w:val="single" w:color="auto" w:sz="4" w:space="0"/>
            </w:tcBorders>
            <w:vAlign w:val="center"/>
          </w:tcPr>
          <w:p>
            <w:pPr>
              <w:jc w:val="center"/>
              <w:rPr>
                <w:rFonts w:ascii="宋体" w:cs="宋体"/>
                <w:bCs/>
                <w:color w:val="000000"/>
                <w:szCs w:val="21"/>
              </w:rPr>
            </w:pPr>
            <w:r>
              <w:rPr>
                <w:rFonts w:ascii="宋体" w:hAnsi="宋体" w:cs="宋体"/>
                <w:bCs/>
                <w:color w:val="000000"/>
                <w:szCs w:val="21"/>
              </w:rPr>
              <w:t>21</w:t>
            </w:r>
          </w:p>
        </w:tc>
        <w:tc>
          <w:tcPr>
            <w:tcW w:w="2552" w:type="dxa"/>
            <w:tcBorders>
              <w:top w:val="nil"/>
              <w:left w:val="nil"/>
              <w:bottom w:val="single" w:color="auto" w:sz="4" w:space="0"/>
              <w:right w:val="single" w:color="auto" w:sz="4" w:space="0"/>
            </w:tcBorders>
            <w:vAlign w:val="center"/>
          </w:tcPr>
          <w:p>
            <w:pPr>
              <w:rPr>
                <w:rFonts w:ascii="宋体" w:cs="宋体"/>
                <w:bCs/>
                <w:color w:val="000000"/>
                <w:szCs w:val="21"/>
              </w:rPr>
            </w:pPr>
            <w:r>
              <w:rPr>
                <w:rFonts w:ascii="宋体" w:hAnsi="宋体" w:cs="宋体"/>
                <w:bCs/>
                <w:color w:val="000000"/>
                <w:szCs w:val="21"/>
              </w:rPr>
              <w:t xml:space="preserve">GY/T 109.2-1992 </w:t>
            </w:r>
          </w:p>
        </w:tc>
        <w:tc>
          <w:tcPr>
            <w:tcW w:w="340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广播用</w:t>
            </w:r>
            <w:r>
              <w:rPr>
                <w:rFonts w:ascii="宋体" w:hAnsi="宋体" w:cs="宋体"/>
                <w:bCs/>
                <w:color w:val="000000"/>
                <w:szCs w:val="21"/>
              </w:rPr>
              <w:t>CCD</w:t>
            </w:r>
            <w:r>
              <w:rPr>
                <w:rFonts w:hint="eastAsia" w:ascii="宋体" w:hAnsi="宋体" w:cs="宋体"/>
                <w:bCs/>
                <w:color w:val="000000"/>
                <w:szCs w:val="21"/>
              </w:rPr>
              <w:t>摄像系统电性能指标测量方法</w:t>
            </w:r>
          </w:p>
        </w:tc>
        <w:tc>
          <w:tcPr>
            <w:tcW w:w="486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规定了</w:t>
            </w:r>
            <w:r>
              <w:rPr>
                <w:rFonts w:ascii="宋体" w:hAnsi="宋体" w:cs="宋体"/>
                <w:bCs/>
                <w:color w:val="000000"/>
                <w:szCs w:val="21"/>
              </w:rPr>
              <w:t>CCD</w:t>
            </w:r>
            <w:r>
              <w:rPr>
                <w:rFonts w:hint="eastAsia" w:ascii="宋体" w:hAnsi="宋体" w:cs="宋体"/>
                <w:bCs/>
                <w:color w:val="000000"/>
                <w:szCs w:val="21"/>
              </w:rPr>
              <w:t>摄像系统电性能指标的测量方法。</w:t>
            </w:r>
          </w:p>
        </w:tc>
        <w:tc>
          <w:tcPr>
            <w:tcW w:w="2682" w:type="dxa"/>
            <w:tcBorders>
              <w:top w:val="nil"/>
              <w:left w:val="nil"/>
              <w:bottom w:val="single" w:color="auto" w:sz="4" w:space="0"/>
              <w:right w:val="single" w:color="auto" w:sz="4" w:space="0"/>
            </w:tcBorders>
            <w:vAlign w:val="center"/>
          </w:tcPr>
          <w:p>
            <w:pPr>
              <w:rPr>
                <w:rFonts w:ascii="宋体" w:cs="宋体"/>
                <w:bCs/>
                <w:szCs w:val="21"/>
              </w:rPr>
            </w:pPr>
            <w:r>
              <w:rPr>
                <w:rFonts w:hint="eastAsia" w:ascii="宋体" w:hAnsi="宋体" w:cs="宋体"/>
                <w:bCs/>
                <w:szCs w:val="21"/>
              </w:rPr>
              <w:t>已有</w:t>
            </w:r>
            <w:r>
              <w:rPr>
                <w:rFonts w:ascii="宋体" w:hAnsi="宋体" w:cs="宋体"/>
                <w:bCs/>
                <w:szCs w:val="21"/>
              </w:rPr>
              <w:t>GY/T 295-2015</w:t>
            </w:r>
            <w:r>
              <w:rPr>
                <w:rFonts w:hint="eastAsia" w:ascii="宋体" w:hAnsi="宋体" w:cs="宋体"/>
                <w:bCs/>
                <w:szCs w:val="21"/>
              </w:rPr>
              <w:t>替代</w:t>
            </w:r>
          </w:p>
        </w:tc>
      </w:tr>
      <w:tr>
        <w:tblPrEx>
          <w:tblLayout w:type="fixed"/>
          <w:tblCellMar>
            <w:top w:w="0" w:type="dxa"/>
            <w:left w:w="108" w:type="dxa"/>
            <w:bottom w:w="0" w:type="dxa"/>
            <w:right w:w="108" w:type="dxa"/>
          </w:tblCellMar>
        </w:tblPrEx>
        <w:trPr>
          <w:cantSplit/>
          <w:trHeight w:val="20" w:hRule="atLeast"/>
        </w:trPr>
        <w:tc>
          <w:tcPr>
            <w:tcW w:w="676" w:type="dxa"/>
            <w:tcBorders>
              <w:top w:val="nil"/>
              <w:left w:val="single" w:color="auto" w:sz="4" w:space="0"/>
              <w:bottom w:val="single" w:color="auto" w:sz="4" w:space="0"/>
              <w:right w:val="single" w:color="auto" w:sz="4" w:space="0"/>
            </w:tcBorders>
            <w:vAlign w:val="center"/>
          </w:tcPr>
          <w:p>
            <w:pPr>
              <w:jc w:val="center"/>
              <w:rPr>
                <w:rFonts w:ascii="宋体" w:cs="宋体"/>
                <w:bCs/>
                <w:color w:val="000000"/>
                <w:szCs w:val="21"/>
              </w:rPr>
            </w:pPr>
            <w:r>
              <w:rPr>
                <w:rFonts w:ascii="宋体" w:hAnsi="宋体" w:cs="宋体"/>
                <w:bCs/>
                <w:color w:val="000000"/>
                <w:szCs w:val="21"/>
              </w:rPr>
              <w:t>22</w:t>
            </w:r>
          </w:p>
        </w:tc>
        <w:tc>
          <w:tcPr>
            <w:tcW w:w="2552" w:type="dxa"/>
            <w:tcBorders>
              <w:top w:val="nil"/>
              <w:left w:val="nil"/>
              <w:bottom w:val="single" w:color="auto" w:sz="4" w:space="0"/>
              <w:right w:val="single" w:color="auto" w:sz="4" w:space="0"/>
            </w:tcBorders>
            <w:vAlign w:val="center"/>
          </w:tcPr>
          <w:p>
            <w:pPr>
              <w:rPr>
                <w:rFonts w:ascii="宋体" w:cs="宋体"/>
                <w:bCs/>
                <w:color w:val="000000"/>
                <w:szCs w:val="21"/>
              </w:rPr>
            </w:pPr>
            <w:r>
              <w:rPr>
                <w:rFonts w:ascii="宋体" w:hAnsi="宋体" w:cs="宋体"/>
                <w:bCs/>
                <w:color w:val="000000"/>
                <w:szCs w:val="21"/>
              </w:rPr>
              <w:t>GY/T l10-1992</w:t>
            </w:r>
          </w:p>
        </w:tc>
        <w:tc>
          <w:tcPr>
            <w:tcW w:w="340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广播用图像监视器技术要求</w:t>
            </w:r>
          </w:p>
        </w:tc>
        <w:tc>
          <w:tcPr>
            <w:tcW w:w="486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规定了广播用图像监视器的光、电性能和基本使用功能要求。</w:t>
            </w:r>
          </w:p>
        </w:tc>
        <w:tc>
          <w:tcPr>
            <w:tcW w:w="2682" w:type="dxa"/>
            <w:tcBorders>
              <w:top w:val="nil"/>
              <w:left w:val="nil"/>
              <w:bottom w:val="single" w:color="auto" w:sz="4" w:space="0"/>
              <w:right w:val="single" w:color="auto" w:sz="4" w:space="0"/>
            </w:tcBorders>
            <w:vAlign w:val="center"/>
          </w:tcPr>
          <w:p>
            <w:pPr>
              <w:rPr>
                <w:rFonts w:ascii="宋体" w:cs="宋体"/>
                <w:bCs/>
                <w:szCs w:val="21"/>
              </w:rPr>
            </w:pPr>
            <w:r>
              <w:rPr>
                <w:rFonts w:hint="eastAsia" w:ascii="宋体" w:hAnsi="宋体" w:cs="宋体"/>
                <w:bCs/>
                <w:szCs w:val="21"/>
              </w:rPr>
              <w:t>随着</w:t>
            </w:r>
            <w:r>
              <w:rPr>
                <w:rFonts w:ascii="宋体" w:hAnsi="宋体" w:cs="宋体"/>
                <w:bCs/>
                <w:szCs w:val="21"/>
              </w:rPr>
              <w:t>GY/T 85-1989</w:t>
            </w:r>
            <w:r>
              <w:rPr>
                <w:rFonts w:hint="eastAsia" w:ascii="宋体" w:hAnsi="宋体" w:cs="宋体"/>
                <w:bCs/>
                <w:szCs w:val="21"/>
              </w:rPr>
              <w:t>标准废止</w:t>
            </w:r>
          </w:p>
        </w:tc>
      </w:tr>
      <w:tr>
        <w:tblPrEx>
          <w:tblLayout w:type="fixed"/>
          <w:tblCellMar>
            <w:top w:w="0" w:type="dxa"/>
            <w:left w:w="108" w:type="dxa"/>
            <w:bottom w:w="0" w:type="dxa"/>
            <w:right w:w="108" w:type="dxa"/>
          </w:tblCellMar>
        </w:tblPrEx>
        <w:trPr>
          <w:cantSplit/>
          <w:trHeight w:val="538" w:hRule="atLeast"/>
        </w:trPr>
        <w:tc>
          <w:tcPr>
            <w:tcW w:w="676" w:type="dxa"/>
            <w:tcBorders>
              <w:top w:val="nil"/>
              <w:left w:val="single" w:color="auto" w:sz="4" w:space="0"/>
              <w:bottom w:val="single" w:color="auto" w:sz="4" w:space="0"/>
              <w:right w:val="single" w:color="auto" w:sz="4" w:space="0"/>
            </w:tcBorders>
            <w:vAlign w:val="center"/>
          </w:tcPr>
          <w:p>
            <w:pPr>
              <w:jc w:val="center"/>
              <w:rPr>
                <w:rFonts w:ascii="宋体" w:cs="宋体"/>
                <w:bCs/>
                <w:color w:val="000000"/>
                <w:szCs w:val="21"/>
              </w:rPr>
            </w:pPr>
            <w:r>
              <w:rPr>
                <w:rFonts w:ascii="宋体" w:hAnsi="宋体" w:cs="宋体"/>
                <w:bCs/>
                <w:color w:val="000000"/>
                <w:szCs w:val="21"/>
              </w:rPr>
              <w:t>23</w:t>
            </w:r>
          </w:p>
        </w:tc>
        <w:tc>
          <w:tcPr>
            <w:tcW w:w="2552" w:type="dxa"/>
            <w:tcBorders>
              <w:top w:val="nil"/>
              <w:left w:val="nil"/>
              <w:bottom w:val="single" w:color="auto" w:sz="4" w:space="0"/>
              <w:right w:val="single" w:color="auto" w:sz="4" w:space="0"/>
            </w:tcBorders>
            <w:vAlign w:val="center"/>
          </w:tcPr>
          <w:p>
            <w:pPr>
              <w:rPr>
                <w:rFonts w:ascii="宋体" w:cs="宋体"/>
                <w:bCs/>
                <w:color w:val="000000"/>
                <w:szCs w:val="21"/>
              </w:rPr>
            </w:pPr>
            <w:r>
              <w:rPr>
                <w:rFonts w:ascii="宋体" w:hAnsi="宋体" w:cs="宋体"/>
                <w:bCs/>
                <w:color w:val="000000"/>
                <w:szCs w:val="21"/>
              </w:rPr>
              <w:t>GY/T l15-1995</w:t>
            </w:r>
          </w:p>
        </w:tc>
        <w:tc>
          <w:tcPr>
            <w:tcW w:w="340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中文图文电视广播测试页</w:t>
            </w:r>
          </w:p>
        </w:tc>
        <w:tc>
          <w:tcPr>
            <w:tcW w:w="486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提供了</w:t>
            </w:r>
            <w:r>
              <w:rPr>
                <w:rFonts w:ascii="宋体" w:hAnsi="宋体" w:cs="宋体"/>
                <w:bCs/>
                <w:color w:val="000000"/>
                <w:szCs w:val="21"/>
              </w:rPr>
              <w:t>8</w:t>
            </w:r>
            <w:r>
              <w:rPr>
                <w:rFonts w:hint="eastAsia" w:ascii="宋体" w:hAnsi="宋体" w:cs="宋体"/>
                <w:bCs/>
                <w:color w:val="000000"/>
                <w:szCs w:val="21"/>
              </w:rPr>
              <w:t>组中文图文电视广播测试页。</w:t>
            </w:r>
          </w:p>
        </w:tc>
        <w:tc>
          <w:tcPr>
            <w:tcW w:w="2682" w:type="dxa"/>
            <w:tcBorders>
              <w:top w:val="nil"/>
              <w:left w:val="nil"/>
              <w:bottom w:val="single" w:color="auto" w:sz="4" w:space="0"/>
              <w:right w:val="single" w:color="auto" w:sz="4" w:space="0"/>
            </w:tcBorders>
            <w:vAlign w:val="center"/>
          </w:tcPr>
          <w:p>
            <w:pPr>
              <w:rPr>
                <w:rFonts w:ascii="宋体" w:cs="宋体"/>
                <w:bCs/>
                <w:szCs w:val="21"/>
              </w:rPr>
            </w:pPr>
            <w:r>
              <w:rPr>
                <w:rFonts w:hint="eastAsia" w:ascii="宋体" w:hAnsi="宋体" w:cs="宋体"/>
                <w:bCs/>
                <w:szCs w:val="21"/>
              </w:rPr>
              <w:t>技术过时落后</w:t>
            </w:r>
          </w:p>
        </w:tc>
      </w:tr>
      <w:tr>
        <w:tblPrEx>
          <w:tblLayout w:type="fixed"/>
          <w:tblCellMar>
            <w:top w:w="0" w:type="dxa"/>
            <w:left w:w="108" w:type="dxa"/>
            <w:bottom w:w="0" w:type="dxa"/>
            <w:right w:w="108" w:type="dxa"/>
          </w:tblCellMar>
        </w:tblPrEx>
        <w:trPr>
          <w:cantSplit/>
          <w:trHeight w:val="20" w:hRule="atLeast"/>
        </w:trPr>
        <w:tc>
          <w:tcPr>
            <w:tcW w:w="676" w:type="dxa"/>
            <w:tcBorders>
              <w:top w:val="nil"/>
              <w:left w:val="single" w:color="auto" w:sz="4" w:space="0"/>
              <w:bottom w:val="single" w:color="auto" w:sz="4" w:space="0"/>
              <w:right w:val="single" w:color="auto" w:sz="4" w:space="0"/>
            </w:tcBorders>
            <w:vAlign w:val="center"/>
          </w:tcPr>
          <w:p>
            <w:pPr>
              <w:jc w:val="center"/>
              <w:rPr>
                <w:rFonts w:ascii="宋体" w:cs="宋体"/>
                <w:bCs/>
                <w:color w:val="000000"/>
                <w:szCs w:val="21"/>
              </w:rPr>
            </w:pPr>
            <w:r>
              <w:rPr>
                <w:rFonts w:ascii="宋体" w:hAnsi="宋体" w:cs="宋体"/>
                <w:bCs/>
                <w:color w:val="000000"/>
                <w:szCs w:val="21"/>
              </w:rPr>
              <w:t>24</w:t>
            </w:r>
          </w:p>
        </w:tc>
        <w:tc>
          <w:tcPr>
            <w:tcW w:w="2552" w:type="dxa"/>
            <w:tcBorders>
              <w:top w:val="nil"/>
              <w:left w:val="nil"/>
              <w:bottom w:val="single" w:color="auto" w:sz="4" w:space="0"/>
              <w:right w:val="single" w:color="auto" w:sz="4" w:space="0"/>
            </w:tcBorders>
            <w:vAlign w:val="center"/>
          </w:tcPr>
          <w:p>
            <w:pPr>
              <w:rPr>
                <w:rFonts w:ascii="宋体" w:cs="宋体"/>
                <w:bCs/>
                <w:color w:val="000000"/>
                <w:szCs w:val="21"/>
              </w:rPr>
            </w:pPr>
            <w:r>
              <w:rPr>
                <w:rFonts w:ascii="宋体" w:hAnsi="宋体" w:cs="宋体"/>
                <w:bCs/>
                <w:color w:val="000000"/>
                <w:szCs w:val="21"/>
              </w:rPr>
              <w:t xml:space="preserve">GY/T l17-1995 </w:t>
            </w:r>
          </w:p>
        </w:tc>
        <w:tc>
          <w:tcPr>
            <w:tcW w:w="3402" w:type="dxa"/>
            <w:tcBorders>
              <w:top w:val="nil"/>
              <w:left w:val="nil"/>
              <w:bottom w:val="single" w:color="auto" w:sz="4" w:space="0"/>
              <w:right w:val="single" w:color="auto" w:sz="4" w:space="0"/>
            </w:tcBorders>
            <w:vAlign w:val="center"/>
          </w:tcPr>
          <w:p>
            <w:pPr>
              <w:rPr>
                <w:rFonts w:ascii="宋体" w:cs="宋体"/>
                <w:bCs/>
                <w:color w:val="000000"/>
                <w:szCs w:val="21"/>
              </w:rPr>
            </w:pPr>
            <w:r>
              <w:rPr>
                <w:rFonts w:ascii="宋体" w:hAnsi="宋体" w:cs="宋体"/>
                <w:bCs/>
                <w:color w:val="000000"/>
                <w:szCs w:val="21"/>
              </w:rPr>
              <w:t>12.65</w:t>
            </w:r>
            <w:r>
              <w:rPr>
                <w:rFonts w:hint="eastAsia" w:ascii="宋体" w:hAnsi="宋体" w:cs="宋体"/>
                <w:bCs/>
                <w:color w:val="000000"/>
                <w:szCs w:val="21"/>
              </w:rPr>
              <w:t>毫米</w:t>
            </w:r>
            <w:r>
              <w:rPr>
                <w:rFonts w:ascii="宋体" w:hAnsi="宋体" w:cs="宋体"/>
                <w:bCs/>
                <w:color w:val="000000"/>
                <w:szCs w:val="21"/>
              </w:rPr>
              <w:t>(l/2</w:t>
            </w:r>
            <w:r>
              <w:rPr>
                <w:rFonts w:hint="eastAsia" w:ascii="宋体" w:hAnsi="宋体" w:cs="宋体"/>
                <w:bCs/>
                <w:color w:val="000000"/>
                <w:szCs w:val="21"/>
              </w:rPr>
              <w:t>英寸</w:t>
            </w:r>
            <w:r>
              <w:rPr>
                <w:rFonts w:ascii="宋体" w:hAnsi="宋体" w:cs="宋体"/>
                <w:bCs/>
                <w:color w:val="000000"/>
                <w:szCs w:val="21"/>
              </w:rPr>
              <w:t>)</w:t>
            </w:r>
            <w:r>
              <w:rPr>
                <w:rFonts w:hint="eastAsia" w:ascii="宋体" w:hAnsi="宋体" w:cs="宋体"/>
                <w:bCs/>
                <w:color w:val="000000"/>
                <w:szCs w:val="21"/>
              </w:rPr>
              <w:t>模拟分量电视节目磁带的录制和交换规范</w:t>
            </w:r>
          </w:p>
        </w:tc>
        <w:tc>
          <w:tcPr>
            <w:tcW w:w="486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规定了</w:t>
            </w:r>
            <w:r>
              <w:rPr>
                <w:rFonts w:ascii="宋体" w:hAnsi="宋体" w:cs="宋体"/>
                <w:bCs/>
                <w:color w:val="000000"/>
                <w:szCs w:val="21"/>
              </w:rPr>
              <w:t>12.65</w:t>
            </w:r>
            <w:r>
              <w:rPr>
                <w:rFonts w:hint="eastAsia" w:ascii="宋体" w:hAnsi="宋体" w:cs="宋体"/>
                <w:bCs/>
                <w:color w:val="000000"/>
                <w:szCs w:val="21"/>
              </w:rPr>
              <w:t>毫米（</w:t>
            </w:r>
            <w:r>
              <w:rPr>
                <w:rFonts w:ascii="宋体" w:hAnsi="宋体" w:cs="宋体"/>
                <w:bCs/>
                <w:color w:val="000000"/>
                <w:szCs w:val="21"/>
              </w:rPr>
              <w:t>1/2</w:t>
            </w:r>
            <w:r>
              <w:rPr>
                <w:rFonts w:hint="eastAsia" w:ascii="宋体" w:hAnsi="宋体" w:cs="宋体"/>
                <w:bCs/>
                <w:color w:val="000000"/>
                <w:szCs w:val="21"/>
              </w:rPr>
              <w:t>英寸）插盒式磁带模拟分量电视节目录制和交换的基本技术要求。</w:t>
            </w:r>
          </w:p>
        </w:tc>
        <w:tc>
          <w:tcPr>
            <w:tcW w:w="2682" w:type="dxa"/>
            <w:tcBorders>
              <w:top w:val="nil"/>
              <w:left w:val="nil"/>
              <w:bottom w:val="single" w:color="auto" w:sz="4" w:space="0"/>
              <w:right w:val="single" w:color="auto" w:sz="4" w:space="0"/>
            </w:tcBorders>
            <w:vAlign w:val="center"/>
          </w:tcPr>
          <w:p>
            <w:r>
              <w:rPr>
                <w:rFonts w:hint="eastAsia" w:ascii="宋体" w:hAnsi="宋体" w:cs="宋体"/>
                <w:bCs/>
                <w:szCs w:val="21"/>
              </w:rPr>
              <w:t>技术过时落后</w:t>
            </w:r>
          </w:p>
        </w:tc>
      </w:tr>
      <w:tr>
        <w:tblPrEx>
          <w:tblLayout w:type="fixed"/>
          <w:tblCellMar>
            <w:top w:w="0" w:type="dxa"/>
            <w:left w:w="108" w:type="dxa"/>
            <w:bottom w:w="0" w:type="dxa"/>
            <w:right w:w="108" w:type="dxa"/>
          </w:tblCellMar>
        </w:tblPrEx>
        <w:trPr>
          <w:cantSplit/>
          <w:trHeight w:val="20" w:hRule="atLeast"/>
        </w:trPr>
        <w:tc>
          <w:tcPr>
            <w:tcW w:w="676" w:type="dxa"/>
            <w:tcBorders>
              <w:top w:val="nil"/>
              <w:left w:val="single" w:color="auto" w:sz="4" w:space="0"/>
              <w:bottom w:val="single" w:color="auto" w:sz="4" w:space="0"/>
              <w:right w:val="single" w:color="auto" w:sz="4" w:space="0"/>
            </w:tcBorders>
            <w:vAlign w:val="center"/>
          </w:tcPr>
          <w:p>
            <w:pPr>
              <w:jc w:val="center"/>
              <w:rPr>
                <w:rFonts w:ascii="宋体" w:cs="宋体"/>
                <w:bCs/>
                <w:color w:val="000000"/>
                <w:szCs w:val="21"/>
              </w:rPr>
            </w:pPr>
            <w:r>
              <w:rPr>
                <w:rFonts w:ascii="宋体" w:hAnsi="宋体" w:cs="宋体"/>
                <w:bCs/>
                <w:color w:val="000000"/>
                <w:szCs w:val="21"/>
              </w:rPr>
              <w:t>25</w:t>
            </w:r>
          </w:p>
        </w:tc>
        <w:tc>
          <w:tcPr>
            <w:tcW w:w="2552" w:type="dxa"/>
            <w:tcBorders>
              <w:top w:val="nil"/>
              <w:left w:val="nil"/>
              <w:bottom w:val="single" w:color="auto" w:sz="4" w:space="0"/>
              <w:right w:val="single" w:color="auto" w:sz="4" w:space="0"/>
            </w:tcBorders>
            <w:vAlign w:val="center"/>
          </w:tcPr>
          <w:p>
            <w:pPr>
              <w:rPr>
                <w:rFonts w:ascii="宋体" w:cs="宋体"/>
                <w:bCs/>
                <w:color w:val="000000"/>
                <w:szCs w:val="21"/>
              </w:rPr>
            </w:pPr>
            <w:r>
              <w:rPr>
                <w:rFonts w:ascii="宋体" w:hAnsi="宋体" w:cs="宋体"/>
                <w:bCs/>
                <w:color w:val="000000"/>
                <w:szCs w:val="21"/>
              </w:rPr>
              <w:t xml:space="preserve">GY/T 120-1995 </w:t>
            </w:r>
          </w:p>
        </w:tc>
        <w:tc>
          <w:tcPr>
            <w:tcW w:w="340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电视节目带技术质量检验方法</w:t>
            </w:r>
          </w:p>
        </w:tc>
        <w:tc>
          <w:tcPr>
            <w:tcW w:w="486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规定了广播用电视节目的技术质量检验项目和方法。确定了检验环境和条件以及验收用技术设备。</w:t>
            </w:r>
          </w:p>
        </w:tc>
        <w:tc>
          <w:tcPr>
            <w:tcW w:w="2682" w:type="dxa"/>
            <w:tcBorders>
              <w:top w:val="nil"/>
              <w:left w:val="nil"/>
              <w:bottom w:val="single" w:color="auto" w:sz="4" w:space="0"/>
              <w:right w:val="single" w:color="auto" w:sz="4" w:space="0"/>
            </w:tcBorders>
            <w:vAlign w:val="center"/>
          </w:tcPr>
          <w:p>
            <w:r>
              <w:rPr>
                <w:rFonts w:hint="eastAsia" w:ascii="宋体" w:hAnsi="宋体" w:cs="宋体"/>
                <w:bCs/>
                <w:szCs w:val="21"/>
              </w:rPr>
              <w:t>技术过时落后</w:t>
            </w:r>
          </w:p>
        </w:tc>
      </w:tr>
      <w:tr>
        <w:tblPrEx>
          <w:tblLayout w:type="fixed"/>
          <w:tblCellMar>
            <w:top w:w="0" w:type="dxa"/>
            <w:left w:w="108" w:type="dxa"/>
            <w:bottom w:w="0" w:type="dxa"/>
            <w:right w:w="108" w:type="dxa"/>
          </w:tblCellMar>
        </w:tblPrEx>
        <w:trPr>
          <w:cantSplit/>
          <w:trHeight w:val="20" w:hRule="atLeast"/>
        </w:trPr>
        <w:tc>
          <w:tcPr>
            <w:tcW w:w="676" w:type="dxa"/>
            <w:tcBorders>
              <w:top w:val="nil"/>
              <w:left w:val="single" w:color="auto" w:sz="4" w:space="0"/>
              <w:bottom w:val="single" w:color="auto" w:sz="4" w:space="0"/>
              <w:right w:val="single" w:color="auto" w:sz="4" w:space="0"/>
            </w:tcBorders>
            <w:vAlign w:val="center"/>
          </w:tcPr>
          <w:p>
            <w:pPr>
              <w:jc w:val="center"/>
              <w:rPr>
                <w:rFonts w:ascii="宋体" w:cs="宋体"/>
                <w:bCs/>
                <w:color w:val="000000"/>
                <w:szCs w:val="21"/>
              </w:rPr>
            </w:pPr>
            <w:r>
              <w:rPr>
                <w:rFonts w:ascii="宋体" w:hAnsi="宋体" w:cs="宋体"/>
                <w:bCs/>
                <w:color w:val="000000"/>
                <w:szCs w:val="21"/>
              </w:rPr>
              <w:t>26</w:t>
            </w:r>
          </w:p>
        </w:tc>
        <w:tc>
          <w:tcPr>
            <w:tcW w:w="2552" w:type="dxa"/>
            <w:tcBorders>
              <w:top w:val="nil"/>
              <w:left w:val="nil"/>
              <w:bottom w:val="single" w:color="auto" w:sz="4" w:space="0"/>
              <w:right w:val="single" w:color="auto" w:sz="4" w:space="0"/>
            </w:tcBorders>
            <w:vAlign w:val="center"/>
          </w:tcPr>
          <w:p>
            <w:pPr>
              <w:rPr>
                <w:rFonts w:ascii="宋体" w:cs="宋体"/>
                <w:bCs/>
                <w:color w:val="000000"/>
                <w:szCs w:val="21"/>
              </w:rPr>
            </w:pPr>
            <w:r>
              <w:rPr>
                <w:rFonts w:ascii="宋体" w:hAnsi="宋体" w:cs="宋体"/>
                <w:bCs/>
                <w:color w:val="000000"/>
                <w:szCs w:val="21"/>
              </w:rPr>
              <w:t>GY/T 126-1995</w:t>
            </w:r>
          </w:p>
        </w:tc>
        <w:tc>
          <w:tcPr>
            <w:tcW w:w="340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广播中心录制系统维护规程</w:t>
            </w:r>
          </w:p>
        </w:tc>
        <w:tc>
          <w:tcPr>
            <w:tcW w:w="486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规定了广播中心录制系统维护管理任务，以及系统和主要设备的技术指标、节目录制质量的基本要求，包括录制系统的设备维护和管理制度等。</w:t>
            </w:r>
          </w:p>
        </w:tc>
        <w:tc>
          <w:tcPr>
            <w:tcW w:w="2682" w:type="dxa"/>
            <w:tcBorders>
              <w:top w:val="nil"/>
              <w:left w:val="nil"/>
              <w:bottom w:val="single" w:color="auto" w:sz="4" w:space="0"/>
              <w:right w:val="single" w:color="auto" w:sz="4" w:space="0"/>
            </w:tcBorders>
            <w:vAlign w:val="center"/>
          </w:tcPr>
          <w:p>
            <w:r>
              <w:rPr>
                <w:rFonts w:hint="eastAsia" w:ascii="宋体" w:hAnsi="宋体" w:cs="宋体"/>
                <w:bCs/>
                <w:szCs w:val="21"/>
              </w:rPr>
              <w:t>技术过时落后</w:t>
            </w:r>
          </w:p>
        </w:tc>
      </w:tr>
      <w:tr>
        <w:tblPrEx>
          <w:tblLayout w:type="fixed"/>
          <w:tblCellMar>
            <w:top w:w="0" w:type="dxa"/>
            <w:left w:w="108" w:type="dxa"/>
            <w:bottom w:w="0" w:type="dxa"/>
            <w:right w:w="108" w:type="dxa"/>
          </w:tblCellMar>
        </w:tblPrEx>
        <w:trPr>
          <w:cantSplit/>
          <w:trHeight w:val="64" w:hRule="atLeast"/>
        </w:trPr>
        <w:tc>
          <w:tcPr>
            <w:tcW w:w="676" w:type="dxa"/>
            <w:tcBorders>
              <w:top w:val="nil"/>
              <w:left w:val="single" w:color="auto" w:sz="4" w:space="0"/>
              <w:bottom w:val="single" w:color="auto" w:sz="4" w:space="0"/>
              <w:right w:val="single" w:color="auto" w:sz="4" w:space="0"/>
            </w:tcBorders>
            <w:vAlign w:val="center"/>
          </w:tcPr>
          <w:p>
            <w:pPr>
              <w:jc w:val="center"/>
              <w:rPr>
                <w:rFonts w:ascii="宋体" w:cs="宋体"/>
                <w:bCs/>
                <w:color w:val="000000"/>
                <w:szCs w:val="21"/>
              </w:rPr>
            </w:pPr>
            <w:r>
              <w:rPr>
                <w:rFonts w:ascii="宋体" w:hAnsi="宋体" w:cs="宋体"/>
                <w:bCs/>
                <w:color w:val="000000"/>
                <w:szCs w:val="21"/>
              </w:rPr>
              <w:t>27</w:t>
            </w:r>
          </w:p>
        </w:tc>
        <w:tc>
          <w:tcPr>
            <w:tcW w:w="2552" w:type="dxa"/>
            <w:tcBorders>
              <w:top w:val="nil"/>
              <w:left w:val="nil"/>
              <w:bottom w:val="single" w:color="auto" w:sz="4" w:space="0"/>
              <w:right w:val="single" w:color="auto" w:sz="4" w:space="0"/>
            </w:tcBorders>
            <w:vAlign w:val="center"/>
          </w:tcPr>
          <w:p>
            <w:pPr>
              <w:rPr>
                <w:rFonts w:ascii="宋体" w:cs="宋体"/>
                <w:bCs/>
                <w:color w:val="000000"/>
                <w:szCs w:val="21"/>
              </w:rPr>
            </w:pPr>
            <w:r>
              <w:rPr>
                <w:rFonts w:ascii="宋体" w:hAnsi="宋体" w:cs="宋体"/>
                <w:bCs/>
                <w:color w:val="000000"/>
                <w:szCs w:val="21"/>
              </w:rPr>
              <w:t xml:space="preserve">GY/T 129-1997 </w:t>
            </w:r>
          </w:p>
        </w:tc>
        <w:tc>
          <w:tcPr>
            <w:tcW w:w="3402" w:type="dxa"/>
            <w:tcBorders>
              <w:top w:val="nil"/>
              <w:left w:val="nil"/>
              <w:bottom w:val="single" w:color="auto" w:sz="4" w:space="0"/>
              <w:right w:val="single" w:color="auto" w:sz="4" w:space="0"/>
            </w:tcBorders>
            <w:vAlign w:val="center"/>
          </w:tcPr>
          <w:p>
            <w:pPr>
              <w:rPr>
                <w:rFonts w:ascii="宋体" w:cs="宋体"/>
                <w:bCs/>
                <w:color w:val="000000"/>
                <w:szCs w:val="21"/>
              </w:rPr>
            </w:pPr>
            <w:r>
              <w:rPr>
                <w:rFonts w:ascii="宋体" w:hAnsi="宋体" w:cs="宋体"/>
                <w:bCs/>
                <w:color w:val="000000"/>
                <w:szCs w:val="21"/>
              </w:rPr>
              <w:t>PAL-D</w:t>
            </w:r>
            <w:r>
              <w:rPr>
                <w:rFonts w:hint="eastAsia" w:ascii="宋体" w:hAnsi="宋体" w:cs="宋体"/>
                <w:bCs/>
                <w:color w:val="000000"/>
                <w:szCs w:val="21"/>
              </w:rPr>
              <w:t>电视广播附加双声道数字声技术规范</w:t>
            </w:r>
          </w:p>
        </w:tc>
        <w:tc>
          <w:tcPr>
            <w:tcW w:w="486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规定了</w:t>
            </w:r>
            <w:r>
              <w:rPr>
                <w:rFonts w:ascii="宋体" w:hAnsi="宋体" w:cs="宋体"/>
                <w:bCs/>
                <w:color w:val="000000"/>
                <w:szCs w:val="21"/>
              </w:rPr>
              <w:t>PAL-D</w:t>
            </w:r>
            <w:r>
              <w:rPr>
                <w:rFonts w:hint="eastAsia" w:ascii="宋体" w:hAnsi="宋体" w:cs="宋体"/>
                <w:bCs/>
                <w:color w:val="000000"/>
                <w:szCs w:val="21"/>
              </w:rPr>
              <w:t>制电视广播中附加播送</w:t>
            </w:r>
            <w:r>
              <w:rPr>
                <w:rFonts w:ascii="宋体" w:hAnsi="宋体" w:cs="宋体"/>
                <w:bCs/>
                <w:color w:val="000000"/>
                <w:szCs w:val="21"/>
              </w:rPr>
              <w:t>NICAM-728</w:t>
            </w:r>
            <w:r>
              <w:rPr>
                <w:rFonts w:hint="eastAsia" w:ascii="宋体" w:hAnsi="宋体" w:cs="宋体"/>
                <w:bCs/>
                <w:color w:val="000000"/>
                <w:szCs w:val="21"/>
              </w:rPr>
              <w:t>数字立体声或两路数字单声信号的技术要求和格式。</w:t>
            </w:r>
          </w:p>
        </w:tc>
        <w:tc>
          <w:tcPr>
            <w:tcW w:w="2682" w:type="dxa"/>
            <w:tcBorders>
              <w:top w:val="nil"/>
              <w:left w:val="nil"/>
              <w:bottom w:val="single" w:color="auto" w:sz="4" w:space="0"/>
              <w:right w:val="single" w:color="auto" w:sz="4" w:space="0"/>
            </w:tcBorders>
            <w:vAlign w:val="center"/>
          </w:tcPr>
          <w:p>
            <w:r>
              <w:rPr>
                <w:rFonts w:hint="eastAsia" w:ascii="宋体" w:hAnsi="宋体" w:cs="宋体"/>
                <w:bCs/>
                <w:szCs w:val="21"/>
              </w:rPr>
              <w:t>技术过时落后</w:t>
            </w:r>
          </w:p>
        </w:tc>
      </w:tr>
      <w:tr>
        <w:tblPrEx>
          <w:tblLayout w:type="fixed"/>
          <w:tblCellMar>
            <w:top w:w="0" w:type="dxa"/>
            <w:left w:w="108" w:type="dxa"/>
            <w:bottom w:w="0" w:type="dxa"/>
            <w:right w:w="108" w:type="dxa"/>
          </w:tblCellMar>
        </w:tblPrEx>
        <w:trPr>
          <w:cantSplit/>
          <w:trHeight w:val="438" w:hRule="atLeast"/>
        </w:trPr>
        <w:tc>
          <w:tcPr>
            <w:tcW w:w="676" w:type="dxa"/>
            <w:tcBorders>
              <w:top w:val="nil"/>
              <w:left w:val="single" w:color="auto" w:sz="4" w:space="0"/>
              <w:bottom w:val="single" w:color="auto" w:sz="4" w:space="0"/>
              <w:right w:val="single" w:color="auto" w:sz="4" w:space="0"/>
            </w:tcBorders>
            <w:vAlign w:val="center"/>
          </w:tcPr>
          <w:p>
            <w:pPr>
              <w:jc w:val="center"/>
              <w:rPr>
                <w:rFonts w:ascii="宋体" w:cs="宋体"/>
                <w:bCs/>
                <w:color w:val="000000"/>
                <w:szCs w:val="21"/>
              </w:rPr>
            </w:pPr>
            <w:r>
              <w:rPr>
                <w:rFonts w:ascii="宋体" w:hAnsi="宋体" w:cs="宋体"/>
                <w:bCs/>
                <w:color w:val="000000"/>
                <w:szCs w:val="21"/>
              </w:rPr>
              <w:t>28</w:t>
            </w:r>
          </w:p>
        </w:tc>
        <w:tc>
          <w:tcPr>
            <w:tcW w:w="2552" w:type="dxa"/>
            <w:tcBorders>
              <w:top w:val="nil"/>
              <w:left w:val="nil"/>
              <w:bottom w:val="single" w:color="auto" w:sz="4" w:space="0"/>
              <w:right w:val="single" w:color="auto" w:sz="4" w:space="0"/>
            </w:tcBorders>
            <w:vAlign w:val="center"/>
          </w:tcPr>
          <w:p>
            <w:pPr>
              <w:rPr>
                <w:rFonts w:ascii="宋体" w:cs="宋体"/>
                <w:bCs/>
                <w:color w:val="000000"/>
                <w:szCs w:val="21"/>
              </w:rPr>
            </w:pPr>
            <w:r>
              <w:rPr>
                <w:rFonts w:ascii="宋体" w:hAnsi="宋体" w:cs="宋体"/>
                <w:bCs/>
                <w:color w:val="000000"/>
                <w:szCs w:val="21"/>
              </w:rPr>
              <w:t xml:space="preserve">GY/T 133-1998 </w:t>
            </w:r>
          </w:p>
        </w:tc>
        <w:tc>
          <w:tcPr>
            <w:tcW w:w="340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广播节目录制技术质量检验规范</w:t>
            </w:r>
          </w:p>
        </w:tc>
        <w:tc>
          <w:tcPr>
            <w:tcW w:w="486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规定了检验广播节目录制技术质量规范。</w:t>
            </w:r>
          </w:p>
        </w:tc>
        <w:tc>
          <w:tcPr>
            <w:tcW w:w="2682" w:type="dxa"/>
            <w:tcBorders>
              <w:top w:val="nil"/>
              <w:left w:val="nil"/>
              <w:bottom w:val="single" w:color="auto" w:sz="4" w:space="0"/>
              <w:right w:val="single" w:color="auto" w:sz="4" w:space="0"/>
            </w:tcBorders>
            <w:vAlign w:val="center"/>
          </w:tcPr>
          <w:p>
            <w:r>
              <w:rPr>
                <w:rFonts w:hint="eastAsia" w:ascii="宋体" w:hAnsi="宋体" w:cs="宋体"/>
                <w:bCs/>
                <w:szCs w:val="21"/>
              </w:rPr>
              <w:t>技术过时落后</w:t>
            </w:r>
          </w:p>
        </w:tc>
      </w:tr>
      <w:tr>
        <w:tblPrEx>
          <w:tblLayout w:type="fixed"/>
          <w:tblCellMar>
            <w:top w:w="0" w:type="dxa"/>
            <w:left w:w="108" w:type="dxa"/>
            <w:bottom w:w="0" w:type="dxa"/>
            <w:right w:w="108" w:type="dxa"/>
          </w:tblCellMar>
        </w:tblPrEx>
        <w:trPr>
          <w:cantSplit/>
          <w:trHeight w:val="20" w:hRule="atLeast"/>
        </w:trPr>
        <w:tc>
          <w:tcPr>
            <w:tcW w:w="676" w:type="dxa"/>
            <w:tcBorders>
              <w:top w:val="nil"/>
              <w:left w:val="single" w:color="auto" w:sz="4" w:space="0"/>
              <w:bottom w:val="single" w:color="auto" w:sz="4" w:space="0"/>
              <w:right w:val="single" w:color="auto" w:sz="4" w:space="0"/>
            </w:tcBorders>
            <w:vAlign w:val="center"/>
          </w:tcPr>
          <w:p>
            <w:pPr>
              <w:jc w:val="center"/>
              <w:rPr>
                <w:rFonts w:ascii="宋体" w:cs="宋体"/>
                <w:bCs/>
                <w:color w:val="000000"/>
                <w:szCs w:val="21"/>
              </w:rPr>
            </w:pPr>
            <w:r>
              <w:rPr>
                <w:rFonts w:ascii="宋体" w:hAnsi="宋体" w:cs="宋体"/>
                <w:bCs/>
                <w:color w:val="000000"/>
                <w:szCs w:val="21"/>
              </w:rPr>
              <w:t>29</w:t>
            </w:r>
          </w:p>
        </w:tc>
        <w:tc>
          <w:tcPr>
            <w:tcW w:w="2552" w:type="dxa"/>
            <w:tcBorders>
              <w:top w:val="nil"/>
              <w:left w:val="nil"/>
              <w:bottom w:val="single" w:color="auto" w:sz="4" w:space="0"/>
              <w:right w:val="single" w:color="auto" w:sz="4" w:space="0"/>
            </w:tcBorders>
            <w:vAlign w:val="center"/>
          </w:tcPr>
          <w:p>
            <w:pPr>
              <w:rPr>
                <w:rFonts w:ascii="宋体" w:cs="宋体"/>
                <w:bCs/>
                <w:color w:val="000000"/>
                <w:szCs w:val="21"/>
              </w:rPr>
            </w:pPr>
            <w:r>
              <w:rPr>
                <w:rFonts w:ascii="宋体" w:hAnsi="宋体" w:cs="宋体"/>
                <w:bCs/>
                <w:color w:val="000000"/>
                <w:szCs w:val="21"/>
              </w:rPr>
              <w:t xml:space="preserve">GY/T 206-2005 </w:t>
            </w:r>
          </w:p>
        </w:tc>
        <w:tc>
          <w:tcPr>
            <w:tcW w:w="340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采用多音信号对调频广播进行测量的方法</w:t>
            </w:r>
          </w:p>
        </w:tc>
        <w:tc>
          <w:tcPr>
            <w:tcW w:w="486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规定了采用多音信号对调频广播进行测量的方法。对于能够确保同样测量不确定度的任何等效测量方法也可以采用。</w:t>
            </w:r>
          </w:p>
        </w:tc>
        <w:tc>
          <w:tcPr>
            <w:tcW w:w="2682" w:type="dxa"/>
            <w:tcBorders>
              <w:top w:val="nil"/>
              <w:left w:val="nil"/>
              <w:bottom w:val="single" w:color="auto" w:sz="4" w:space="0"/>
              <w:right w:val="single" w:color="auto" w:sz="4" w:space="0"/>
            </w:tcBorders>
            <w:vAlign w:val="center"/>
          </w:tcPr>
          <w:p>
            <w:pPr>
              <w:rPr>
                <w:rFonts w:ascii="宋体" w:cs="宋体"/>
                <w:bCs/>
                <w:szCs w:val="21"/>
              </w:rPr>
            </w:pPr>
            <w:r>
              <w:rPr>
                <w:rFonts w:hint="eastAsia" w:ascii="宋体" w:hAnsi="宋体" w:cs="宋体"/>
                <w:bCs/>
                <w:szCs w:val="21"/>
              </w:rPr>
              <w:t>无实施或使用</w:t>
            </w:r>
          </w:p>
        </w:tc>
      </w:tr>
      <w:tr>
        <w:tblPrEx>
          <w:tblLayout w:type="fixed"/>
          <w:tblCellMar>
            <w:top w:w="0" w:type="dxa"/>
            <w:left w:w="108" w:type="dxa"/>
            <w:bottom w:w="0" w:type="dxa"/>
            <w:right w:w="108" w:type="dxa"/>
          </w:tblCellMar>
        </w:tblPrEx>
        <w:trPr>
          <w:cantSplit/>
          <w:trHeight w:val="20" w:hRule="atLeast"/>
        </w:trPr>
        <w:tc>
          <w:tcPr>
            <w:tcW w:w="676" w:type="dxa"/>
            <w:tcBorders>
              <w:top w:val="nil"/>
              <w:left w:val="single" w:color="auto" w:sz="4" w:space="0"/>
              <w:bottom w:val="single" w:color="auto" w:sz="4" w:space="0"/>
              <w:right w:val="single" w:color="auto" w:sz="4" w:space="0"/>
            </w:tcBorders>
            <w:vAlign w:val="center"/>
          </w:tcPr>
          <w:p>
            <w:pPr>
              <w:jc w:val="center"/>
              <w:rPr>
                <w:rFonts w:ascii="宋体" w:cs="宋体"/>
                <w:bCs/>
                <w:color w:val="000000"/>
                <w:szCs w:val="21"/>
              </w:rPr>
            </w:pPr>
            <w:r>
              <w:rPr>
                <w:rFonts w:ascii="宋体" w:hAnsi="宋体" w:cs="宋体"/>
                <w:bCs/>
                <w:color w:val="000000"/>
                <w:szCs w:val="21"/>
              </w:rPr>
              <w:t>30</w:t>
            </w:r>
          </w:p>
        </w:tc>
        <w:tc>
          <w:tcPr>
            <w:tcW w:w="2552" w:type="dxa"/>
            <w:tcBorders>
              <w:top w:val="nil"/>
              <w:left w:val="nil"/>
              <w:bottom w:val="single" w:color="auto" w:sz="4" w:space="0"/>
              <w:right w:val="single" w:color="auto" w:sz="4" w:space="0"/>
            </w:tcBorders>
            <w:vAlign w:val="center"/>
          </w:tcPr>
          <w:p>
            <w:pPr>
              <w:rPr>
                <w:rFonts w:ascii="宋体" w:cs="宋体"/>
                <w:bCs/>
                <w:color w:val="000000"/>
                <w:szCs w:val="21"/>
              </w:rPr>
            </w:pPr>
            <w:r>
              <w:rPr>
                <w:rFonts w:ascii="宋体" w:hAnsi="宋体" w:cs="宋体"/>
                <w:bCs/>
                <w:color w:val="000000"/>
                <w:szCs w:val="21"/>
              </w:rPr>
              <w:t>GY/T 223-2007</w:t>
            </w:r>
          </w:p>
        </w:tc>
        <w:tc>
          <w:tcPr>
            <w:tcW w:w="340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标准清晰度数字电视节目录像磁带录制规范</w:t>
            </w:r>
            <w:r>
              <w:rPr>
                <w:rFonts w:ascii="宋体" w:hAnsi="宋体" w:cs="宋体"/>
                <w:bCs/>
                <w:color w:val="000000"/>
                <w:szCs w:val="21"/>
              </w:rPr>
              <w:t xml:space="preserve"> </w:t>
            </w:r>
          </w:p>
        </w:tc>
        <w:tc>
          <w:tcPr>
            <w:tcW w:w="486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规定了标准清晰度数字电视节目录像磁带录制的基本要求。</w:t>
            </w:r>
          </w:p>
        </w:tc>
        <w:tc>
          <w:tcPr>
            <w:tcW w:w="2682" w:type="dxa"/>
            <w:tcBorders>
              <w:top w:val="nil"/>
              <w:left w:val="nil"/>
              <w:bottom w:val="single" w:color="auto" w:sz="4" w:space="0"/>
              <w:right w:val="single" w:color="auto" w:sz="4" w:space="0"/>
            </w:tcBorders>
            <w:vAlign w:val="center"/>
          </w:tcPr>
          <w:p>
            <w:pPr>
              <w:rPr>
                <w:rFonts w:ascii="宋体" w:cs="宋体"/>
                <w:bCs/>
                <w:szCs w:val="21"/>
              </w:rPr>
            </w:pPr>
            <w:r>
              <w:rPr>
                <w:rFonts w:hint="eastAsia" w:ascii="宋体" w:hAnsi="宋体" w:cs="宋体"/>
                <w:bCs/>
                <w:szCs w:val="21"/>
              </w:rPr>
              <w:t>技术过时落后</w:t>
            </w:r>
          </w:p>
        </w:tc>
      </w:tr>
      <w:tr>
        <w:tblPrEx>
          <w:tblLayout w:type="fixed"/>
          <w:tblCellMar>
            <w:top w:w="0" w:type="dxa"/>
            <w:left w:w="108" w:type="dxa"/>
            <w:bottom w:w="0" w:type="dxa"/>
            <w:right w:w="108" w:type="dxa"/>
          </w:tblCellMar>
        </w:tblPrEx>
        <w:trPr>
          <w:cantSplit/>
          <w:trHeight w:val="442" w:hRule="atLeast"/>
        </w:trPr>
        <w:tc>
          <w:tcPr>
            <w:tcW w:w="676" w:type="dxa"/>
            <w:tcBorders>
              <w:top w:val="nil"/>
              <w:left w:val="single" w:color="auto" w:sz="4" w:space="0"/>
              <w:bottom w:val="single" w:color="auto" w:sz="4" w:space="0"/>
              <w:right w:val="single" w:color="auto" w:sz="4" w:space="0"/>
            </w:tcBorders>
            <w:vAlign w:val="center"/>
          </w:tcPr>
          <w:p>
            <w:pPr>
              <w:jc w:val="center"/>
              <w:rPr>
                <w:rFonts w:ascii="宋体" w:cs="宋体"/>
                <w:bCs/>
                <w:color w:val="000000"/>
                <w:szCs w:val="21"/>
              </w:rPr>
            </w:pPr>
            <w:r>
              <w:rPr>
                <w:rFonts w:ascii="宋体" w:hAnsi="宋体" w:cs="宋体"/>
                <w:bCs/>
                <w:color w:val="000000"/>
                <w:szCs w:val="21"/>
              </w:rPr>
              <w:t>31</w:t>
            </w:r>
          </w:p>
        </w:tc>
        <w:tc>
          <w:tcPr>
            <w:tcW w:w="2552" w:type="dxa"/>
            <w:tcBorders>
              <w:top w:val="nil"/>
              <w:left w:val="nil"/>
              <w:bottom w:val="single" w:color="auto" w:sz="4" w:space="0"/>
              <w:right w:val="single" w:color="auto" w:sz="4" w:space="0"/>
            </w:tcBorders>
            <w:vAlign w:val="center"/>
          </w:tcPr>
          <w:p>
            <w:pPr>
              <w:rPr>
                <w:rFonts w:ascii="宋体" w:cs="宋体"/>
                <w:bCs/>
                <w:color w:val="000000"/>
                <w:szCs w:val="21"/>
              </w:rPr>
            </w:pPr>
            <w:r>
              <w:rPr>
                <w:rFonts w:ascii="宋体" w:hAnsi="宋体" w:cs="宋体"/>
                <w:bCs/>
                <w:color w:val="000000"/>
                <w:szCs w:val="21"/>
              </w:rPr>
              <w:t xml:space="preserve">GY/T 86-1993 </w:t>
            </w:r>
          </w:p>
        </w:tc>
        <w:tc>
          <w:tcPr>
            <w:tcW w:w="340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模拟电唱盘通用技术条件</w:t>
            </w:r>
          </w:p>
        </w:tc>
        <w:tc>
          <w:tcPr>
            <w:tcW w:w="486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　</w:t>
            </w:r>
          </w:p>
        </w:tc>
        <w:tc>
          <w:tcPr>
            <w:tcW w:w="2682" w:type="dxa"/>
            <w:tcBorders>
              <w:top w:val="nil"/>
              <w:left w:val="nil"/>
              <w:bottom w:val="single" w:color="auto" w:sz="4" w:space="0"/>
              <w:right w:val="single" w:color="auto" w:sz="4" w:space="0"/>
            </w:tcBorders>
            <w:vAlign w:val="center"/>
          </w:tcPr>
          <w:p>
            <w:r>
              <w:rPr>
                <w:rFonts w:hint="eastAsia" w:ascii="宋体" w:hAnsi="宋体" w:cs="宋体"/>
                <w:bCs/>
                <w:szCs w:val="21"/>
              </w:rPr>
              <w:t>技术过时落后</w:t>
            </w:r>
          </w:p>
        </w:tc>
      </w:tr>
      <w:tr>
        <w:tblPrEx>
          <w:tblLayout w:type="fixed"/>
          <w:tblCellMar>
            <w:top w:w="0" w:type="dxa"/>
            <w:left w:w="108" w:type="dxa"/>
            <w:bottom w:w="0" w:type="dxa"/>
            <w:right w:w="108" w:type="dxa"/>
          </w:tblCellMar>
        </w:tblPrEx>
        <w:trPr>
          <w:cantSplit/>
          <w:trHeight w:val="404" w:hRule="atLeast"/>
        </w:trPr>
        <w:tc>
          <w:tcPr>
            <w:tcW w:w="676" w:type="dxa"/>
            <w:tcBorders>
              <w:top w:val="nil"/>
              <w:left w:val="single" w:color="auto" w:sz="4" w:space="0"/>
              <w:bottom w:val="single" w:color="auto" w:sz="4" w:space="0"/>
              <w:right w:val="single" w:color="auto" w:sz="4" w:space="0"/>
            </w:tcBorders>
            <w:vAlign w:val="center"/>
          </w:tcPr>
          <w:p>
            <w:pPr>
              <w:jc w:val="center"/>
              <w:rPr>
                <w:rFonts w:ascii="宋体" w:cs="宋体"/>
                <w:bCs/>
                <w:color w:val="000000"/>
                <w:szCs w:val="21"/>
              </w:rPr>
            </w:pPr>
            <w:r>
              <w:rPr>
                <w:rFonts w:ascii="宋体" w:hAnsi="宋体" w:cs="宋体"/>
                <w:bCs/>
                <w:color w:val="000000"/>
                <w:szCs w:val="21"/>
              </w:rPr>
              <w:t>32</w:t>
            </w:r>
          </w:p>
        </w:tc>
        <w:tc>
          <w:tcPr>
            <w:tcW w:w="2552" w:type="dxa"/>
            <w:tcBorders>
              <w:top w:val="nil"/>
              <w:left w:val="nil"/>
              <w:bottom w:val="single" w:color="auto" w:sz="4" w:space="0"/>
              <w:right w:val="single" w:color="auto" w:sz="4" w:space="0"/>
            </w:tcBorders>
            <w:vAlign w:val="center"/>
          </w:tcPr>
          <w:p>
            <w:pPr>
              <w:rPr>
                <w:rFonts w:ascii="宋体" w:cs="宋体"/>
                <w:bCs/>
                <w:color w:val="000000"/>
                <w:szCs w:val="21"/>
              </w:rPr>
            </w:pPr>
            <w:r>
              <w:rPr>
                <w:rFonts w:ascii="宋体" w:hAnsi="宋体" w:cs="宋体"/>
                <w:bCs/>
                <w:color w:val="000000"/>
                <w:szCs w:val="21"/>
              </w:rPr>
              <w:t>GY/T 87-1993</w:t>
            </w:r>
          </w:p>
        </w:tc>
        <w:tc>
          <w:tcPr>
            <w:tcW w:w="340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唱针</w:t>
            </w:r>
          </w:p>
        </w:tc>
        <w:tc>
          <w:tcPr>
            <w:tcW w:w="486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　</w:t>
            </w:r>
          </w:p>
        </w:tc>
        <w:tc>
          <w:tcPr>
            <w:tcW w:w="2682" w:type="dxa"/>
            <w:tcBorders>
              <w:top w:val="nil"/>
              <w:left w:val="nil"/>
              <w:bottom w:val="single" w:color="auto" w:sz="4" w:space="0"/>
              <w:right w:val="single" w:color="auto" w:sz="4" w:space="0"/>
            </w:tcBorders>
            <w:vAlign w:val="center"/>
          </w:tcPr>
          <w:p>
            <w:r>
              <w:rPr>
                <w:rFonts w:hint="eastAsia" w:ascii="宋体" w:hAnsi="宋体" w:cs="宋体"/>
                <w:bCs/>
                <w:szCs w:val="21"/>
              </w:rPr>
              <w:t>技术过时落后</w:t>
            </w:r>
          </w:p>
        </w:tc>
      </w:tr>
      <w:tr>
        <w:tblPrEx>
          <w:tblLayout w:type="fixed"/>
          <w:tblCellMar>
            <w:top w:w="0" w:type="dxa"/>
            <w:left w:w="108" w:type="dxa"/>
            <w:bottom w:w="0" w:type="dxa"/>
            <w:right w:w="108" w:type="dxa"/>
          </w:tblCellMar>
        </w:tblPrEx>
        <w:trPr>
          <w:cantSplit/>
          <w:trHeight w:val="352" w:hRule="atLeast"/>
        </w:trPr>
        <w:tc>
          <w:tcPr>
            <w:tcW w:w="676" w:type="dxa"/>
            <w:tcBorders>
              <w:top w:val="nil"/>
              <w:left w:val="single" w:color="auto" w:sz="4" w:space="0"/>
              <w:bottom w:val="single" w:color="auto" w:sz="4" w:space="0"/>
              <w:right w:val="single" w:color="auto" w:sz="4" w:space="0"/>
            </w:tcBorders>
            <w:vAlign w:val="center"/>
          </w:tcPr>
          <w:p>
            <w:pPr>
              <w:jc w:val="center"/>
              <w:rPr>
                <w:rFonts w:ascii="宋体" w:cs="宋体"/>
                <w:bCs/>
                <w:color w:val="000000"/>
                <w:szCs w:val="21"/>
              </w:rPr>
            </w:pPr>
            <w:r>
              <w:rPr>
                <w:rFonts w:ascii="宋体" w:hAnsi="宋体" w:cs="宋体"/>
                <w:bCs/>
                <w:color w:val="000000"/>
                <w:szCs w:val="21"/>
              </w:rPr>
              <w:t>33</w:t>
            </w:r>
          </w:p>
        </w:tc>
        <w:tc>
          <w:tcPr>
            <w:tcW w:w="2552" w:type="dxa"/>
            <w:tcBorders>
              <w:top w:val="nil"/>
              <w:left w:val="nil"/>
              <w:bottom w:val="single" w:color="auto" w:sz="4" w:space="0"/>
              <w:right w:val="single" w:color="auto" w:sz="4" w:space="0"/>
            </w:tcBorders>
            <w:vAlign w:val="center"/>
          </w:tcPr>
          <w:p>
            <w:pPr>
              <w:rPr>
                <w:rFonts w:ascii="宋体" w:cs="宋体"/>
                <w:bCs/>
                <w:color w:val="000000"/>
                <w:szCs w:val="21"/>
              </w:rPr>
            </w:pPr>
            <w:r>
              <w:rPr>
                <w:rFonts w:ascii="宋体" w:hAnsi="宋体" w:cs="宋体"/>
                <w:bCs/>
                <w:color w:val="000000"/>
                <w:szCs w:val="21"/>
              </w:rPr>
              <w:t xml:space="preserve">GY/T 100-1990 </w:t>
            </w:r>
          </w:p>
        </w:tc>
        <w:tc>
          <w:tcPr>
            <w:tcW w:w="340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密纹唱片</w:t>
            </w:r>
          </w:p>
        </w:tc>
        <w:tc>
          <w:tcPr>
            <w:tcW w:w="486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　</w:t>
            </w:r>
          </w:p>
        </w:tc>
        <w:tc>
          <w:tcPr>
            <w:tcW w:w="2682" w:type="dxa"/>
            <w:tcBorders>
              <w:top w:val="nil"/>
              <w:left w:val="nil"/>
              <w:bottom w:val="single" w:color="auto" w:sz="4" w:space="0"/>
              <w:right w:val="single" w:color="auto" w:sz="4" w:space="0"/>
            </w:tcBorders>
            <w:vAlign w:val="center"/>
          </w:tcPr>
          <w:p>
            <w:r>
              <w:rPr>
                <w:rFonts w:hint="eastAsia" w:ascii="宋体" w:hAnsi="宋体" w:cs="宋体"/>
                <w:bCs/>
                <w:szCs w:val="21"/>
              </w:rPr>
              <w:t>技术过时落后</w:t>
            </w:r>
          </w:p>
        </w:tc>
      </w:tr>
      <w:tr>
        <w:tblPrEx>
          <w:tblLayout w:type="fixed"/>
          <w:tblCellMar>
            <w:top w:w="0" w:type="dxa"/>
            <w:left w:w="108" w:type="dxa"/>
            <w:bottom w:w="0" w:type="dxa"/>
            <w:right w:w="108" w:type="dxa"/>
          </w:tblCellMar>
        </w:tblPrEx>
        <w:trPr>
          <w:cantSplit/>
          <w:trHeight w:val="429" w:hRule="atLeast"/>
        </w:trPr>
        <w:tc>
          <w:tcPr>
            <w:tcW w:w="676" w:type="dxa"/>
            <w:tcBorders>
              <w:top w:val="nil"/>
              <w:left w:val="single" w:color="auto" w:sz="4" w:space="0"/>
              <w:bottom w:val="single" w:color="auto" w:sz="4" w:space="0"/>
              <w:right w:val="single" w:color="auto" w:sz="4" w:space="0"/>
            </w:tcBorders>
            <w:vAlign w:val="center"/>
          </w:tcPr>
          <w:p>
            <w:pPr>
              <w:jc w:val="center"/>
              <w:rPr>
                <w:rFonts w:ascii="宋体" w:cs="宋体"/>
                <w:bCs/>
                <w:color w:val="000000"/>
                <w:szCs w:val="21"/>
              </w:rPr>
            </w:pPr>
            <w:r>
              <w:rPr>
                <w:rFonts w:ascii="宋体" w:hAnsi="宋体" w:cs="宋体"/>
                <w:bCs/>
                <w:color w:val="000000"/>
                <w:szCs w:val="21"/>
              </w:rPr>
              <w:t>34</w:t>
            </w:r>
          </w:p>
        </w:tc>
        <w:tc>
          <w:tcPr>
            <w:tcW w:w="2552" w:type="dxa"/>
            <w:tcBorders>
              <w:top w:val="nil"/>
              <w:left w:val="nil"/>
              <w:bottom w:val="single" w:color="auto" w:sz="4" w:space="0"/>
              <w:right w:val="single" w:color="auto" w:sz="4" w:space="0"/>
            </w:tcBorders>
            <w:vAlign w:val="center"/>
          </w:tcPr>
          <w:p>
            <w:pPr>
              <w:rPr>
                <w:rFonts w:ascii="宋体" w:cs="宋体"/>
                <w:bCs/>
                <w:color w:val="000000"/>
                <w:szCs w:val="21"/>
              </w:rPr>
            </w:pPr>
            <w:r>
              <w:rPr>
                <w:rFonts w:ascii="宋体" w:hAnsi="宋体" w:cs="宋体"/>
                <w:bCs/>
                <w:color w:val="000000"/>
                <w:szCs w:val="21"/>
              </w:rPr>
              <w:t xml:space="preserve">GY/T 103-1991 </w:t>
            </w:r>
          </w:p>
        </w:tc>
        <w:tc>
          <w:tcPr>
            <w:tcW w:w="340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塑料薄膜唱片</w:t>
            </w:r>
          </w:p>
        </w:tc>
        <w:tc>
          <w:tcPr>
            <w:tcW w:w="486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　</w:t>
            </w:r>
          </w:p>
        </w:tc>
        <w:tc>
          <w:tcPr>
            <w:tcW w:w="2682" w:type="dxa"/>
            <w:tcBorders>
              <w:top w:val="nil"/>
              <w:left w:val="nil"/>
              <w:bottom w:val="single" w:color="auto" w:sz="4" w:space="0"/>
              <w:right w:val="single" w:color="auto" w:sz="4" w:space="0"/>
            </w:tcBorders>
            <w:vAlign w:val="center"/>
          </w:tcPr>
          <w:p>
            <w:pPr>
              <w:rPr>
                <w:rFonts w:ascii="宋体" w:cs="宋体"/>
                <w:bCs/>
                <w:szCs w:val="21"/>
              </w:rPr>
            </w:pPr>
            <w:r>
              <w:rPr>
                <w:rFonts w:hint="eastAsia" w:ascii="宋体" w:hAnsi="宋体" w:cs="宋体"/>
                <w:bCs/>
                <w:szCs w:val="21"/>
              </w:rPr>
              <w:t>技术过时落后</w:t>
            </w:r>
          </w:p>
        </w:tc>
      </w:tr>
      <w:tr>
        <w:tblPrEx>
          <w:tblLayout w:type="fixed"/>
          <w:tblCellMar>
            <w:top w:w="0" w:type="dxa"/>
            <w:left w:w="108" w:type="dxa"/>
            <w:bottom w:w="0" w:type="dxa"/>
            <w:right w:w="108" w:type="dxa"/>
          </w:tblCellMar>
        </w:tblPrEx>
        <w:trPr>
          <w:cantSplit/>
          <w:trHeight w:val="20" w:hRule="atLeast"/>
        </w:trPr>
        <w:tc>
          <w:tcPr>
            <w:tcW w:w="676" w:type="dxa"/>
            <w:tcBorders>
              <w:top w:val="nil"/>
              <w:left w:val="single" w:color="auto" w:sz="4" w:space="0"/>
              <w:bottom w:val="single" w:color="auto" w:sz="4" w:space="0"/>
              <w:right w:val="single" w:color="auto" w:sz="4" w:space="0"/>
            </w:tcBorders>
            <w:vAlign w:val="center"/>
          </w:tcPr>
          <w:p>
            <w:pPr>
              <w:jc w:val="center"/>
              <w:rPr>
                <w:rFonts w:ascii="宋体" w:cs="宋体"/>
                <w:bCs/>
                <w:color w:val="000000"/>
                <w:szCs w:val="21"/>
              </w:rPr>
            </w:pPr>
            <w:r>
              <w:rPr>
                <w:rFonts w:ascii="宋体" w:hAnsi="宋体" w:cs="宋体"/>
                <w:bCs/>
                <w:color w:val="000000"/>
                <w:szCs w:val="21"/>
              </w:rPr>
              <w:t>35</w:t>
            </w:r>
          </w:p>
        </w:tc>
        <w:tc>
          <w:tcPr>
            <w:tcW w:w="2552" w:type="dxa"/>
            <w:tcBorders>
              <w:top w:val="nil"/>
              <w:left w:val="nil"/>
              <w:bottom w:val="single" w:color="auto" w:sz="4" w:space="0"/>
              <w:right w:val="single" w:color="auto" w:sz="4" w:space="0"/>
            </w:tcBorders>
            <w:vAlign w:val="center"/>
          </w:tcPr>
          <w:p>
            <w:pPr>
              <w:rPr>
                <w:rFonts w:ascii="宋体" w:cs="宋体"/>
                <w:bCs/>
                <w:color w:val="000000"/>
                <w:szCs w:val="21"/>
              </w:rPr>
            </w:pPr>
            <w:r>
              <w:rPr>
                <w:rFonts w:ascii="宋体" w:hAnsi="宋体" w:cs="宋体"/>
                <w:bCs/>
                <w:color w:val="000000"/>
                <w:szCs w:val="21"/>
              </w:rPr>
              <w:t xml:space="preserve">GY/T 108-1992 </w:t>
            </w:r>
          </w:p>
        </w:tc>
        <w:tc>
          <w:tcPr>
            <w:tcW w:w="340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广播用摄像机通用技术条件</w:t>
            </w:r>
          </w:p>
        </w:tc>
        <w:tc>
          <w:tcPr>
            <w:tcW w:w="486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　</w:t>
            </w:r>
          </w:p>
        </w:tc>
        <w:tc>
          <w:tcPr>
            <w:tcW w:w="2682" w:type="dxa"/>
            <w:tcBorders>
              <w:top w:val="nil"/>
              <w:left w:val="nil"/>
              <w:bottom w:val="single" w:color="auto" w:sz="4" w:space="0"/>
              <w:right w:val="single" w:color="auto" w:sz="4" w:space="0"/>
            </w:tcBorders>
            <w:vAlign w:val="center"/>
          </w:tcPr>
          <w:p>
            <w:pPr>
              <w:rPr>
                <w:rFonts w:ascii="宋体" w:cs="宋体"/>
                <w:bCs/>
                <w:szCs w:val="21"/>
              </w:rPr>
            </w:pPr>
            <w:r>
              <w:rPr>
                <w:rFonts w:hint="eastAsia" w:ascii="宋体" w:hAnsi="宋体" w:cs="宋体"/>
                <w:bCs/>
                <w:szCs w:val="21"/>
              </w:rPr>
              <w:t>已由数字摄像机的标准替代（</w:t>
            </w:r>
            <w:r>
              <w:rPr>
                <w:rFonts w:ascii="宋体" w:hAnsi="宋体" w:cs="宋体"/>
                <w:bCs/>
                <w:szCs w:val="21"/>
              </w:rPr>
              <w:t>GY/T 295-2015</w:t>
            </w:r>
            <w:r>
              <w:rPr>
                <w:rFonts w:hint="eastAsia" w:ascii="宋体" w:hAnsi="宋体" w:cs="宋体"/>
                <w:bCs/>
                <w:szCs w:val="21"/>
              </w:rPr>
              <w:t>等</w:t>
            </w:r>
            <w:r>
              <w:rPr>
                <w:rFonts w:ascii="宋体" w:hAnsi="宋体" w:cs="宋体"/>
                <w:bCs/>
                <w:szCs w:val="21"/>
              </w:rPr>
              <w:t>)</w:t>
            </w:r>
          </w:p>
        </w:tc>
      </w:tr>
      <w:tr>
        <w:tblPrEx>
          <w:tblLayout w:type="fixed"/>
          <w:tblCellMar>
            <w:top w:w="0" w:type="dxa"/>
            <w:left w:w="108" w:type="dxa"/>
            <w:bottom w:w="0" w:type="dxa"/>
            <w:right w:w="108" w:type="dxa"/>
          </w:tblCellMar>
        </w:tblPrEx>
        <w:trPr>
          <w:cantSplit/>
          <w:trHeight w:val="498" w:hRule="atLeast"/>
        </w:trPr>
        <w:tc>
          <w:tcPr>
            <w:tcW w:w="676" w:type="dxa"/>
            <w:tcBorders>
              <w:top w:val="nil"/>
              <w:left w:val="single" w:color="auto" w:sz="4" w:space="0"/>
              <w:bottom w:val="single" w:color="auto" w:sz="4" w:space="0"/>
              <w:right w:val="single" w:color="auto" w:sz="4" w:space="0"/>
            </w:tcBorders>
            <w:vAlign w:val="center"/>
          </w:tcPr>
          <w:p>
            <w:pPr>
              <w:jc w:val="center"/>
              <w:rPr>
                <w:rFonts w:ascii="宋体" w:cs="宋体"/>
                <w:bCs/>
                <w:color w:val="000000"/>
                <w:szCs w:val="21"/>
              </w:rPr>
            </w:pPr>
            <w:r>
              <w:rPr>
                <w:rFonts w:ascii="宋体" w:hAnsi="宋体" w:cs="宋体"/>
                <w:bCs/>
                <w:color w:val="000000"/>
                <w:szCs w:val="21"/>
              </w:rPr>
              <w:t>36</w:t>
            </w:r>
          </w:p>
        </w:tc>
        <w:tc>
          <w:tcPr>
            <w:tcW w:w="2552" w:type="dxa"/>
            <w:tcBorders>
              <w:top w:val="nil"/>
              <w:left w:val="nil"/>
              <w:bottom w:val="single" w:color="auto" w:sz="4" w:space="0"/>
              <w:right w:val="single" w:color="auto" w:sz="4" w:space="0"/>
            </w:tcBorders>
            <w:vAlign w:val="center"/>
          </w:tcPr>
          <w:p>
            <w:pPr>
              <w:rPr>
                <w:rFonts w:ascii="宋体" w:cs="宋体"/>
                <w:bCs/>
                <w:color w:val="000000"/>
                <w:szCs w:val="21"/>
              </w:rPr>
            </w:pPr>
            <w:r>
              <w:rPr>
                <w:rFonts w:ascii="宋体" w:hAnsi="宋体" w:cs="宋体"/>
                <w:bCs/>
                <w:color w:val="000000"/>
                <w:szCs w:val="21"/>
              </w:rPr>
              <w:t xml:space="preserve">GY/T 10-1983 </w:t>
            </w:r>
          </w:p>
        </w:tc>
        <w:tc>
          <w:tcPr>
            <w:tcW w:w="340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塑料薄膜立体声唱片</w:t>
            </w:r>
          </w:p>
        </w:tc>
        <w:tc>
          <w:tcPr>
            <w:tcW w:w="486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　</w:t>
            </w:r>
          </w:p>
        </w:tc>
        <w:tc>
          <w:tcPr>
            <w:tcW w:w="2682" w:type="dxa"/>
            <w:tcBorders>
              <w:top w:val="nil"/>
              <w:left w:val="nil"/>
              <w:bottom w:val="single" w:color="auto" w:sz="4" w:space="0"/>
              <w:right w:val="single" w:color="auto" w:sz="4" w:space="0"/>
            </w:tcBorders>
            <w:vAlign w:val="center"/>
          </w:tcPr>
          <w:p>
            <w:pPr>
              <w:rPr>
                <w:rFonts w:ascii="宋体" w:cs="宋体"/>
                <w:bCs/>
                <w:szCs w:val="21"/>
              </w:rPr>
            </w:pPr>
            <w:r>
              <w:rPr>
                <w:rFonts w:hint="eastAsia" w:ascii="宋体" w:hAnsi="宋体" w:cs="宋体"/>
                <w:bCs/>
                <w:szCs w:val="21"/>
              </w:rPr>
              <w:t>技术过时落后</w:t>
            </w:r>
          </w:p>
        </w:tc>
      </w:tr>
      <w:tr>
        <w:tblPrEx>
          <w:tblLayout w:type="fixed"/>
          <w:tblCellMar>
            <w:top w:w="0" w:type="dxa"/>
            <w:left w:w="108" w:type="dxa"/>
            <w:bottom w:w="0" w:type="dxa"/>
            <w:right w:w="108" w:type="dxa"/>
          </w:tblCellMar>
        </w:tblPrEx>
        <w:trPr>
          <w:cantSplit/>
          <w:trHeight w:val="20" w:hRule="atLeast"/>
        </w:trPr>
        <w:tc>
          <w:tcPr>
            <w:tcW w:w="676" w:type="dxa"/>
            <w:tcBorders>
              <w:top w:val="nil"/>
              <w:left w:val="single" w:color="auto" w:sz="4" w:space="0"/>
              <w:bottom w:val="single" w:color="auto" w:sz="4" w:space="0"/>
              <w:right w:val="single" w:color="auto" w:sz="4" w:space="0"/>
            </w:tcBorders>
            <w:vAlign w:val="center"/>
          </w:tcPr>
          <w:p>
            <w:pPr>
              <w:jc w:val="center"/>
              <w:rPr>
                <w:rFonts w:ascii="宋体" w:cs="宋体"/>
                <w:bCs/>
                <w:color w:val="000000"/>
                <w:szCs w:val="21"/>
              </w:rPr>
            </w:pPr>
            <w:r>
              <w:rPr>
                <w:rFonts w:ascii="宋体" w:hAnsi="宋体" w:cs="宋体"/>
                <w:bCs/>
                <w:color w:val="000000"/>
                <w:szCs w:val="21"/>
              </w:rPr>
              <w:t>37</w:t>
            </w:r>
          </w:p>
        </w:tc>
        <w:tc>
          <w:tcPr>
            <w:tcW w:w="2552" w:type="dxa"/>
            <w:tcBorders>
              <w:top w:val="nil"/>
              <w:left w:val="nil"/>
              <w:bottom w:val="single" w:color="auto" w:sz="4" w:space="0"/>
              <w:right w:val="single" w:color="auto" w:sz="4" w:space="0"/>
            </w:tcBorders>
            <w:vAlign w:val="center"/>
          </w:tcPr>
          <w:p>
            <w:pPr>
              <w:rPr>
                <w:rFonts w:ascii="宋体" w:cs="宋体"/>
                <w:bCs/>
                <w:color w:val="000000"/>
                <w:szCs w:val="21"/>
              </w:rPr>
            </w:pPr>
            <w:r>
              <w:rPr>
                <w:rFonts w:ascii="宋体" w:hAnsi="宋体" w:cs="宋体"/>
                <w:bCs/>
                <w:color w:val="000000"/>
                <w:szCs w:val="21"/>
              </w:rPr>
              <w:t>GB 9378-1988</w:t>
            </w:r>
          </w:p>
        </w:tc>
        <w:tc>
          <w:tcPr>
            <w:tcW w:w="340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广播电视演播系统的视音频和脉冲设备安全要求</w:t>
            </w:r>
          </w:p>
        </w:tc>
        <w:tc>
          <w:tcPr>
            <w:tcW w:w="4862" w:type="dxa"/>
            <w:tcBorders>
              <w:top w:val="nil"/>
              <w:left w:val="nil"/>
              <w:bottom w:val="single" w:color="auto" w:sz="4" w:space="0"/>
              <w:right w:val="single" w:color="auto" w:sz="4" w:space="0"/>
            </w:tcBorders>
            <w:vAlign w:val="center"/>
          </w:tcPr>
          <w:p>
            <w:pPr>
              <w:rPr>
                <w:rFonts w:ascii="宋体" w:cs="宋体"/>
                <w:bCs/>
                <w:color w:val="000000"/>
                <w:szCs w:val="21"/>
              </w:rPr>
            </w:pPr>
            <w:r>
              <w:rPr>
                <w:rFonts w:hint="eastAsia" w:ascii="宋体" w:hAnsi="宋体" w:cs="宋体"/>
                <w:bCs/>
                <w:color w:val="000000"/>
                <w:szCs w:val="21"/>
              </w:rPr>
              <w:t>规定了广播电视演播系统的视音频和脉冲设备安全要求。</w:t>
            </w:r>
          </w:p>
        </w:tc>
        <w:tc>
          <w:tcPr>
            <w:tcW w:w="2682" w:type="dxa"/>
            <w:tcBorders>
              <w:top w:val="nil"/>
              <w:left w:val="nil"/>
              <w:bottom w:val="single" w:color="auto" w:sz="4" w:space="0"/>
              <w:right w:val="single" w:color="auto" w:sz="4" w:space="0"/>
            </w:tcBorders>
            <w:vAlign w:val="center"/>
          </w:tcPr>
          <w:p>
            <w:pPr>
              <w:rPr>
                <w:rFonts w:ascii="宋体" w:cs="宋体"/>
                <w:bCs/>
                <w:szCs w:val="21"/>
              </w:rPr>
            </w:pPr>
            <w:r>
              <w:rPr>
                <w:rFonts w:hint="eastAsia" w:ascii="宋体" w:hAnsi="宋体" w:cs="宋体"/>
                <w:bCs/>
                <w:szCs w:val="21"/>
              </w:rPr>
              <w:t>已由其他标准替代（</w:t>
            </w:r>
            <w:r>
              <w:rPr>
                <w:rFonts w:ascii="宋体" w:hAnsi="宋体" w:cs="宋体"/>
                <w:bCs/>
                <w:szCs w:val="21"/>
              </w:rPr>
              <w:t>GY/T 155-2000</w:t>
            </w:r>
            <w:r>
              <w:rPr>
                <w:rFonts w:hint="eastAsia" w:ascii="宋体" w:hAnsi="宋体" w:cs="宋体"/>
                <w:bCs/>
                <w:szCs w:val="21"/>
              </w:rPr>
              <w:t>等</w:t>
            </w:r>
            <w:r>
              <w:rPr>
                <w:rFonts w:ascii="宋体" w:hAnsi="宋体" w:cs="宋体"/>
                <w:bCs/>
                <w:szCs w:val="21"/>
              </w:rPr>
              <w:t>)</w:t>
            </w:r>
          </w:p>
        </w:tc>
      </w:tr>
    </w:tbl>
    <w:p>
      <w:pPr>
        <w:spacing w:line="360" w:lineRule="auto"/>
        <w:jc w:val="center"/>
        <w:rPr>
          <w:rFonts w:ascii="楷体_GB2312" w:eastAsia="楷体_GB2312"/>
          <w:b/>
          <w:sz w:val="28"/>
          <w:szCs w:val="28"/>
        </w:rPr>
      </w:pPr>
    </w:p>
    <w:p>
      <w:pPr>
        <w:spacing w:line="360" w:lineRule="auto"/>
        <w:jc w:val="center"/>
        <w:rPr>
          <w:rFonts w:ascii="楷体_GB2312" w:eastAsia="楷体_GB2312"/>
          <w:b/>
          <w:sz w:val="28"/>
          <w:szCs w:val="28"/>
        </w:rPr>
      </w:pPr>
      <w:r>
        <w:rPr>
          <w:rFonts w:hint="eastAsia" w:ascii="楷体_GB2312" w:eastAsia="楷体_GB2312"/>
          <w:b/>
          <w:sz w:val="28"/>
          <w:szCs w:val="28"/>
        </w:rPr>
        <w:t>二、有线领域</w:t>
      </w:r>
      <w:r>
        <w:rPr>
          <w:rFonts w:hint="default" w:ascii="楷体_GB2312" w:eastAsia="楷体_GB2312"/>
          <w:b/>
          <w:sz w:val="28"/>
          <w:szCs w:val="28"/>
        </w:rPr>
        <w:t>（27项）</w:t>
      </w:r>
    </w:p>
    <w:tbl>
      <w:tblPr>
        <w:tblStyle w:val="10"/>
        <w:tblW w:w="14174" w:type="dxa"/>
        <w:tblInd w:w="0" w:type="dxa"/>
        <w:tblLayout w:type="fixed"/>
        <w:tblCellMar>
          <w:top w:w="0" w:type="dxa"/>
          <w:left w:w="108" w:type="dxa"/>
          <w:bottom w:w="0" w:type="dxa"/>
          <w:right w:w="108" w:type="dxa"/>
        </w:tblCellMar>
      </w:tblPr>
      <w:tblGrid>
        <w:gridCol w:w="698"/>
        <w:gridCol w:w="2547"/>
        <w:gridCol w:w="3385"/>
        <w:gridCol w:w="4859"/>
        <w:gridCol w:w="2685"/>
      </w:tblGrid>
      <w:tr>
        <w:tblPrEx>
          <w:tblLayout w:type="fixed"/>
          <w:tblCellMar>
            <w:top w:w="0" w:type="dxa"/>
            <w:left w:w="108" w:type="dxa"/>
            <w:bottom w:w="0" w:type="dxa"/>
            <w:right w:w="108" w:type="dxa"/>
          </w:tblCellMar>
        </w:tblPrEx>
        <w:trPr>
          <w:cantSplit/>
          <w:trHeight w:val="513" w:hRule="atLeast"/>
          <w:tblHeader/>
        </w:trPr>
        <w:tc>
          <w:tcPr>
            <w:tcW w:w="698"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b/>
                <w:szCs w:val="21"/>
              </w:rPr>
            </w:pPr>
            <w:r>
              <w:rPr>
                <w:rFonts w:hint="eastAsia" w:ascii="宋体" w:hAnsi="宋体"/>
                <w:b/>
                <w:szCs w:val="21"/>
              </w:rPr>
              <w:t>序号</w:t>
            </w:r>
          </w:p>
        </w:tc>
        <w:tc>
          <w:tcPr>
            <w:tcW w:w="2547" w:type="dxa"/>
            <w:tcBorders>
              <w:top w:val="single" w:color="auto" w:sz="4" w:space="0"/>
              <w:left w:val="nil"/>
              <w:bottom w:val="single" w:color="auto" w:sz="4" w:space="0"/>
              <w:right w:val="single" w:color="auto" w:sz="4" w:space="0"/>
            </w:tcBorders>
            <w:vAlign w:val="center"/>
          </w:tcPr>
          <w:p>
            <w:pPr>
              <w:widowControl/>
              <w:jc w:val="center"/>
              <w:rPr>
                <w:rFonts w:ascii="宋体"/>
                <w:b/>
                <w:szCs w:val="21"/>
              </w:rPr>
            </w:pPr>
            <w:r>
              <w:rPr>
                <w:rFonts w:hint="eastAsia" w:ascii="宋体" w:hAnsi="宋体"/>
                <w:b/>
                <w:szCs w:val="21"/>
              </w:rPr>
              <w:t>标准编号</w:t>
            </w:r>
          </w:p>
        </w:tc>
        <w:tc>
          <w:tcPr>
            <w:tcW w:w="3385" w:type="dxa"/>
            <w:tcBorders>
              <w:top w:val="single" w:color="auto" w:sz="4" w:space="0"/>
              <w:left w:val="nil"/>
              <w:bottom w:val="single" w:color="auto" w:sz="4" w:space="0"/>
              <w:right w:val="single" w:color="auto" w:sz="4" w:space="0"/>
            </w:tcBorders>
            <w:vAlign w:val="center"/>
          </w:tcPr>
          <w:p>
            <w:pPr>
              <w:widowControl/>
              <w:jc w:val="center"/>
              <w:rPr>
                <w:rFonts w:ascii="宋体"/>
                <w:b/>
                <w:szCs w:val="21"/>
              </w:rPr>
            </w:pPr>
            <w:r>
              <w:rPr>
                <w:rFonts w:hint="eastAsia" w:ascii="宋体" w:hAnsi="宋体"/>
                <w:b/>
                <w:szCs w:val="21"/>
              </w:rPr>
              <w:t>标准名称</w:t>
            </w:r>
          </w:p>
        </w:tc>
        <w:tc>
          <w:tcPr>
            <w:tcW w:w="4859" w:type="dxa"/>
            <w:tcBorders>
              <w:top w:val="single" w:color="auto" w:sz="4" w:space="0"/>
              <w:left w:val="nil"/>
              <w:bottom w:val="single" w:color="auto" w:sz="4" w:space="0"/>
              <w:right w:val="single" w:color="auto" w:sz="4" w:space="0"/>
            </w:tcBorders>
            <w:vAlign w:val="center"/>
          </w:tcPr>
          <w:p>
            <w:pPr>
              <w:widowControl/>
              <w:jc w:val="center"/>
              <w:rPr>
                <w:rFonts w:ascii="宋体"/>
                <w:b/>
                <w:szCs w:val="21"/>
              </w:rPr>
            </w:pPr>
            <w:r>
              <w:rPr>
                <w:rFonts w:hint="eastAsia" w:ascii="宋体" w:hAnsi="宋体"/>
                <w:b/>
                <w:szCs w:val="21"/>
              </w:rPr>
              <w:t>标准内容</w:t>
            </w:r>
          </w:p>
        </w:tc>
        <w:tc>
          <w:tcPr>
            <w:tcW w:w="2685" w:type="dxa"/>
            <w:tcBorders>
              <w:top w:val="single" w:color="auto" w:sz="4" w:space="0"/>
              <w:left w:val="nil"/>
              <w:bottom w:val="single" w:color="auto" w:sz="4" w:space="0"/>
              <w:right w:val="single" w:color="auto" w:sz="4" w:space="0"/>
            </w:tcBorders>
            <w:vAlign w:val="center"/>
          </w:tcPr>
          <w:p>
            <w:pPr>
              <w:widowControl/>
              <w:jc w:val="center"/>
              <w:rPr>
                <w:rFonts w:ascii="宋体"/>
                <w:b/>
                <w:szCs w:val="21"/>
              </w:rPr>
            </w:pPr>
            <w:r>
              <w:rPr>
                <w:rFonts w:hint="eastAsia" w:ascii="宋体" w:hAnsi="宋体"/>
                <w:b/>
                <w:szCs w:val="21"/>
              </w:rPr>
              <w:t>废止理由</w:t>
            </w:r>
          </w:p>
        </w:tc>
      </w:tr>
      <w:tr>
        <w:tblPrEx>
          <w:tblLayout w:type="fixed"/>
          <w:tblCellMar>
            <w:top w:w="0" w:type="dxa"/>
            <w:left w:w="108" w:type="dxa"/>
            <w:bottom w:w="0" w:type="dxa"/>
            <w:right w:w="108" w:type="dxa"/>
          </w:tblCellMar>
        </w:tblPrEx>
        <w:trPr>
          <w:cantSplit/>
          <w:trHeight w:val="20" w:hRule="atLeast"/>
        </w:trPr>
        <w:tc>
          <w:tcPr>
            <w:tcW w:w="698" w:type="dxa"/>
            <w:tcBorders>
              <w:top w:val="nil"/>
              <w:left w:val="single" w:color="auto" w:sz="4" w:space="0"/>
              <w:bottom w:val="single" w:color="auto" w:sz="4" w:space="0"/>
              <w:right w:val="single" w:color="auto" w:sz="4" w:space="0"/>
            </w:tcBorders>
            <w:vAlign w:val="center"/>
          </w:tcPr>
          <w:p>
            <w:pPr>
              <w:widowControl/>
              <w:jc w:val="center"/>
              <w:rPr>
                <w:rFonts w:ascii="宋体" w:hAnsi="宋体"/>
                <w:szCs w:val="21"/>
              </w:rPr>
            </w:pPr>
            <w:r>
              <w:rPr>
                <w:rFonts w:ascii="宋体" w:hAnsi="宋体"/>
                <w:szCs w:val="21"/>
              </w:rPr>
              <w:t>1</w:t>
            </w:r>
          </w:p>
        </w:tc>
        <w:tc>
          <w:tcPr>
            <w:tcW w:w="2547" w:type="dxa"/>
            <w:tcBorders>
              <w:top w:val="nil"/>
              <w:left w:val="nil"/>
              <w:bottom w:val="single" w:color="auto" w:sz="4" w:space="0"/>
              <w:right w:val="single" w:color="auto" w:sz="4" w:space="0"/>
            </w:tcBorders>
            <w:vAlign w:val="center"/>
          </w:tcPr>
          <w:p>
            <w:pPr>
              <w:widowControl/>
              <w:jc w:val="left"/>
              <w:rPr>
                <w:rFonts w:ascii="宋体" w:hAnsi="宋体"/>
                <w:szCs w:val="21"/>
              </w:rPr>
            </w:pPr>
            <w:r>
              <w:rPr>
                <w:rFonts w:ascii="宋体" w:hAnsi="宋体"/>
                <w:szCs w:val="21"/>
              </w:rPr>
              <w:t>GY/T 218-2006</w:t>
            </w:r>
          </w:p>
        </w:tc>
        <w:tc>
          <w:tcPr>
            <w:tcW w:w="3385" w:type="dxa"/>
            <w:tcBorders>
              <w:top w:val="nil"/>
              <w:left w:val="nil"/>
              <w:bottom w:val="single" w:color="auto" w:sz="4" w:space="0"/>
              <w:right w:val="single" w:color="auto" w:sz="4" w:space="0"/>
            </w:tcBorders>
            <w:vAlign w:val="center"/>
          </w:tcPr>
          <w:p>
            <w:pPr>
              <w:widowControl/>
              <w:jc w:val="left"/>
              <w:rPr>
                <w:rFonts w:ascii="宋体" w:hAnsi="宋体"/>
                <w:szCs w:val="21"/>
              </w:rPr>
            </w:pPr>
            <w:r>
              <w:rPr>
                <w:rFonts w:ascii="宋体" w:hAnsi="宋体"/>
                <w:szCs w:val="21"/>
              </w:rPr>
              <w:t>SDH</w:t>
            </w:r>
            <w:r>
              <w:rPr>
                <w:rFonts w:hint="eastAsia" w:ascii="宋体" w:hAnsi="宋体"/>
                <w:szCs w:val="21"/>
              </w:rPr>
              <w:t>传输网网络管理接口规范</w:t>
            </w:r>
            <w:r>
              <w:rPr>
                <w:rFonts w:ascii="宋体" w:hAnsi="宋体"/>
                <w:szCs w:val="21"/>
              </w:rPr>
              <w:t>—NMS-EMS Q3</w:t>
            </w:r>
            <w:r>
              <w:rPr>
                <w:rFonts w:hint="eastAsia" w:ascii="宋体" w:hAnsi="宋体"/>
                <w:szCs w:val="21"/>
              </w:rPr>
              <w:t>接口管理信息模型</w:t>
            </w:r>
            <w:r>
              <w:rPr>
                <w:rFonts w:ascii="宋体" w:hAnsi="宋体"/>
                <w:szCs w:val="21"/>
              </w:rPr>
              <w:t xml:space="preserve"> </w:t>
            </w:r>
          </w:p>
        </w:tc>
        <w:tc>
          <w:tcPr>
            <w:tcW w:w="4859" w:type="dxa"/>
            <w:tcBorders>
              <w:top w:val="nil"/>
              <w:left w:val="nil"/>
              <w:bottom w:val="single" w:color="auto" w:sz="4" w:space="0"/>
              <w:right w:val="single" w:color="auto" w:sz="4" w:space="0"/>
            </w:tcBorders>
            <w:vAlign w:val="center"/>
          </w:tcPr>
          <w:p>
            <w:pPr>
              <w:widowControl/>
              <w:jc w:val="left"/>
              <w:rPr>
                <w:rFonts w:ascii="宋体"/>
                <w:szCs w:val="21"/>
              </w:rPr>
            </w:pPr>
            <w:r>
              <w:rPr>
                <w:rFonts w:hint="eastAsia" w:ascii="宋体" w:hAnsi="宋体"/>
                <w:szCs w:val="21"/>
              </w:rPr>
              <w:t>规定了广电</w:t>
            </w:r>
            <w:r>
              <w:rPr>
                <w:rFonts w:ascii="宋体" w:hAnsi="宋体"/>
                <w:szCs w:val="21"/>
              </w:rPr>
              <w:t>SDH</w:t>
            </w:r>
            <w:r>
              <w:rPr>
                <w:rFonts w:hint="eastAsia" w:ascii="宋体" w:hAnsi="宋体"/>
                <w:szCs w:val="21"/>
              </w:rPr>
              <w:t>传输网中网络管理系统（</w:t>
            </w:r>
            <w:r>
              <w:rPr>
                <w:rFonts w:ascii="宋体" w:hAnsi="宋体"/>
                <w:szCs w:val="21"/>
              </w:rPr>
              <w:t>NMS</w:t>
            </w:r>
            <w:r>
              <w:rPr>
                <w:rFonts w:hint="eastAsia" w:ascii="宋体" w:hAnsi="宋体"/>
                <w:szCs w:val="21"/>
              </w:rPr>
              <w:t>）与网元管理系统（</w:t>
            </w:r>
            <w:r>
              <w:rPr>
                <w:rFonts w:ascii="宋体" w:hAnsi="宋体"/>
                <w:szCs w:val="21"/>
              </w:rPr>
              <w:t>EMS</w:t>
            </w:r>
            <w:r>
              <w:rPr>
                <w:rFonts w:hint="eastAsia" w:ascii="宋体" w:hAnsi="宋体"/>
                <w:szCs w:val="21"/>
              </w:rPr>
              <w:t>）之间的</w:t>
            </w:r>
            <w:r>
              <w:rPr>
                <w:rFonts w:ascii="宋体" w:hAnsi="宋体"/>
                <w:szCs w:val="21"/>
              </w:rPr>
              <w:t>Q3</w:t>
            </w:r>
            <w:r>
              <w:rPr>
                <w:rFonts w:hint="eastAsia" w:ascii="宋体" w:hAnsi="宋体"/>
                <w:szCs w:val="21"/>
              </w:rPr>
              <w:t>接口的管理功能要求和采用</w:t>
            </w:r>
            <w:r>
              <w:rPr>
                <w:rFonts w:ascii="宋体" w:hAnsi="宋体"/>
                <w:szCs w:val="21"/>
              </w:rPr>
              <w:t>GDMO/ASN.1</w:t>
            </w:r>
            <w:r>
              <w:rPr>
                <w:rFonts w:hint="eastAsia" w:ascii="宋体" w:hAnsi="宋体"/>
                <w:szCs w:val="21"/>
              </w:rPr>
              <w:t>定义的信息模型。</w:t>
            </w:r>
          </w:p>
        </w:tc>
        <w:tc>
          <w:tcPr>
            <w:tcW w:w="2685" w:type="dxa"/>
            <w:tcBorders>
              <w:top w:val="nil"/>
              <w:left w:val="nil"/>
              <w:bottom w:val="single" w:color="auto" w:sz="4" w:space="0"/>
              <w:right w:val="single" w:color="auto" w:sz="4" w:space="0"/>
            </w:tcBorders>
            <w:vAlign w:val="center"/>
          </w:tcPr>
          <w:p>
            <w:pPr>
              <w:widowControl/>
              <w:jc w:val="left"/>
              <w:rPr>
                <w:rFonts w:ascii="宋体"/>
                <w:szCs w:val="21"/>
              </w:rPr>
            </w:pPr>
            <w:r>
              <w:rPr>
                <w:rFonts w:hint="eastAsia" w:ascii="宋体" w:hAnsi="宋体"/>
                <w:szCs w:val="21"/>
              </w:rPr>
              <w:t>该技术目前应用较少，可以改为企业标准</w:t>
            </w:r>
          </w:p>
        </w:tc>
      </w:tr>
      <w:tr>
        <w:tblPrEx>
          <w:tblLayout w:type="fixed"/>
          <w:tblCellMar>
            <w:top w:w="0" w:type="dxa"/>
            <w:left w:w="108" w:type="dxa"/>
            <w:bottom w:w="0" w:type="dxa"/>
            <w:right w:w="108" w:type="dxa"/>
          </w:tblCellMar>
        </w:tblPrEx>
        <w:trPr>
          <w:cantSplit/>
          <w:trHeight w:val="20" w:hRule="atLeast"/>
        </w:trPr>
        <w:tc>
          <w:tcPr>
            <w:tcW w:w="698" w:type="dxa"/>
            <w:tcBorders>
              <w:top w:val="nil"/>
              <w:left w:val="single" w:color="auto" w:sz="4" w:space="0"/>
              <w:bottom w:val="single" w:color="auto" w:sz="4" w:space="0"/>
              <w:right w:val="single" w:color="auto" w:sz="4" w:space="0"/>
            </w:tcBorders>
            <w:vAlign w:val="center"/>
          </w:tcPr>
          <w:p>
            <w:pPr>
              <w:widowControl/>
              <w:jc w:val="center"/>
              <w:rPr>
                <w:rFonts w:ascii="宋体" w:hAnsi="宋体"/>
                <w:szCs w:val="21"/>
              </w:rPr>
            </w:pPr>
            <w:r>
              <w:rPr>
                <w:rFonts w:ascii="宋体" w:hAnsi="宋体"/>
                <w:szCs w:val="21"/>
              </w:rPr>
              <w:t>2</w:t>
            </w:r>
          </w:p>
        </w:tc>
        <w:tc>
          <w:tcPr>
            <w:tcW w:w="2547" w:type="dxa"/>
            <w:tcBorders>
              <w:top w:val="nil"/>
              <w:left w:val="nil"/>
              <w:bottom w:val="single" w:color="auto" w:sz="4" w:space="0"/>
              <w:right w:val="single" w:color="auto" w:sz="4" w:space="0"/>
            </w:tcBorders>
            <w:vAlign w:val="center"/>
          </w:tcPr>
          <w:p>
            <w:pPr>
              <w:widowControl/>
              <w:jc w:val="left"/>
              <w:rPr>
                <w:rFonts w:ascii="宋体" w:hAnsi="宋体"/>
                <w:szCs w:val="21"/>
              </w:rPr>
            </w:pPr>
            <w:r>
              <w:rPr>
                <w:rFonts w:ascii="宋体" w:hAnsi="宋体"/>
                <w:szCs w:val="21"/>
              </w:rPr>
              <w:t xml:space="preserve">GY/T l16-1995 </w:t>
            </w:r>
          </w:p>
        </w:tc>
        <w:tc>
          <w:tcPr>
            <w:tcW w:w="3385" w:type="dxa"/>
            <w:tcBorders>
              <w:top w:val="nil"/>
              <w:left w:val="nil"/>
              <w:bottom w:val="single" w:color="auto" w:sz="4" w:space="0"/>
              <w:right w:val="single" w:color="auto" w:sz="4" w:space="0"/>
            </w:tcBorders>
            <w:vAlign w:val="center"/>
          </w:tcPr>
          <w:p>
            <w:pPr>
              <w:widowControl/>
              <w:jc w:val="left"/>
              <w:rPr>
                <w:rFonts w:ascii="宋体"/>
                <w:szCs w:val="21"/>
              </w:rPr>
            </w:pPr>
            <w:r>
              <w:rPr>
                <w:rFonts w:hint="eastAsia" w:ascii="宋体" w:hAnsi="宋体"/>
                <w:szCs w:val="21"/>
              </w:rPr>
              <w:t>有线广播对讲汇接台和终端设备技术要求</w:t>
            </w:r>
          </w:p>
        </w:tc>
        <w:tc>
          <w:tcPr>
            <w:tcW w:w="4859" w:type="dxa"/>
            <w:tcBorders>
              <w:top w:val="nil"/>
              <w:left w:val="nil"/>
              <w:bottom w:val="single" w:color="auto" w:sz="4" w:space="0"/>
              <w:right w:val="single" w:color="auto" w:sz="4" w:space="0"/>
            </w:tcBorders>
            <w:vAlign w:val="center"/>
          </w:tcPr>
          <w:p>
            <w:pPr>
              <w:widowControl/>
              <w:jc w:val="left"/>
              <w:rPr>
                <w:rFonts w:ascii="宋体"/>
                <w:szCs w:val="21"/>
              </w:rPr>
            </w:pPr>
            <w:r>
              <w:rPr>
                <w:rFonts w:hint="eastAsia" w:ascii="宋体" w:hAnsi="宋体"/>
                <w:szCs w:val="21"/>
              </w:rPr>
              <w:t>规定了有线广播对讲汇接台和终端设备的基本参数和性能要求。</w:t>
            </w:r>
          </w:p>
        </w:tc>
        <w:tc>
          <w:tcPr>
            <w:tcW w:w="2685" w:type="dxa"/>
            <w:tcBorders>
              <w:top w:val="nil"/>
              <w:left w:val="nil"/>
              <w:bottom w:val="single" w:color="auto" w:sz="4" w:space="0"/>
              <w:right w:val="single" w:color="auto" w:sz="4" w:space="0"/>
            </w:tcBorders>
            <w:vAlign w:val="center"/>
          </w:tcPr>
          <w:p>
            <w:r>
              <w:rPr>
                <w:rFonts w:hint="eastAsia" w:ascii="宋体" w:hAnsi="宋体" w:cs="宋体"/>
                <w:bCs/>
                <w:szCs w:val="21"/>
              </w:rPr>
              <w:t>技术过时落后</w:t>
            </w:r>
          </w:p>
        </w:tc>
      </w:tr>
      <w:tr>
        <w:tblPrEx>
          <w:tblLayout w:type="fixed"/>
          <w:tblCellMar>
            <w:top w:w="0" w:type="dxa"/>
            <w:left w:w="108" w:type="dxa"/>
            <w:bottom w:w="0" w:type="dxa"/>
            <w:right w:w="108" w:type="dxa"/>
          </w:tblCellMar>
        </w:tblPrEx>
        <w:trPr>
          <w:cantSplit/>
          <w:trHeight w:val="20" w:hRule="atLeast"/>
        </w:trPr>
        <w:tc>
          <w:tcPr>
            <w:tcW w:w="698" w:type="dxa"/>
            <w:tcBorders>
              <w:top w:val="nil"/>
              <w:left w:val="single" w:color="auto" w:sz="4" w:space="0"/>
              <w:bottom w:val="single" w:color="auto" w:sz="4" w:space="0"/>
              <w:right w:val="single" w:color="auto" w:sz="4" w:space="0"/>
            </w:tcBorders>
            <w:vAlign w:val="center"/>
          </w:tcPr>
          <w:p>
            <w:pPr>
              <w:widowControl/>
              <w:jc w:val="center"/>
              <w:rPr>
                <w:rFonts w:ascii="宋体" w:hAnsi="宋体"/>
                <w:szCs w:val="21"/>
              </w:rPr>
            </w:pPr>
            <w:r>
              <w:rPr>
                <w:rFonts w:ascii="宋体" w:hAnsi="宋体"/>
                <w:szCs w:val="21"/>
              </w:rPr>
              <w:t>3</w:t>
            </w:r>
          </w:p>
        </w:tc>
        <w:tc>
          <w:tcPr>
            <w:tcW w:w="2547" w:type="dxa"/>
            <w:tcBorders>
              <w:top w:val="nil"/>
              <w:left w:val="nil"/>
              <w:bottom w:val="single" w:color="auto" w:sz="4" w:space="0"/>
              <w:right w:val="single" w:color="auto" w:sz="4" w:space="0"/>
            </w:tcBorders>
            <w:vAlign w:val="center"/>
          </w:tcPr>
          <w:p>
            <w:pPr>
              <w:widowControl/>
              <w:jc w:val="left"/>
              <w:rPr>
                <w:rFonts w:ascii="宋体" w:hAnsi="宋体"/>
                <w:szCs w:val="21"/>
              </w:rPr>
            </w:pPr>
            <w:r>
              <w:rPr>
                <w:rFonts w:ascii="宋体" w:hAnsi="宋体"/>
                <w:szCs w:val="21"/>
              </w:rPr>
              <w:t xml:space="preserve">GY/T 15-1995 </w:t>
            </w:r>
          </w:p>
        </w:tc>
        <w:tc>
          <w:tcPr>
            <w:tcW w:w="3385" w:type="dxa"/>
            <w:tcBorders>
              <w:top w:val="nil"/>
              <w:left w:val="nil"/>
              <w:bottom w:val="single" w:color="auto" w:sz="4" w:space="0"/>
              <w:right w:val="single" w:color="auto" w:sz="4" w:space="0"/>
            </w:tcBorders>
            <w:vAlign w:val="center"/>
          </w:tcPr>
          <w:p>
            <w:pPr>
              <w:widowControl/>
              <w:jc w:val="left"/>
              <w:rPr>
                <w:rFonts w:ascii="宋体"/>
                <w:szCs w:val="21"/>
              </w:rPr>
            </w:pPr>
            <w:r>
              <w:rPr>
                <w:rFonts w:hint="eastAsia" w:ascii="宋体" w:hAnsi="宋体"/>
                <w:szCs w:val="21"/>
              </w:rPr>
              <w:t>农村有线广播台</w:t>
            </w:r>
            <w:r>
              <w:rPr>
                <w:rFonts w:ascii="宋体" w:hAnsi="宋体"/>
                <w:szCs w:val="21"/>
              </w:rPr>
              <w:t>(</w:t>
            </w:r>
            <w:r>
              <w:rPr>
                <w:rFonts w:hint="eastAsia" w:ascii="宋体" w:hAnsi="宋体"/>
                <w:szCs w:val="21"/>
              </w:rPr>
              <w:t>站</w:t>
            </w:r>
            <w:r>
              <w:rPr>
                <w:rFonts w:ascii="宋体" w:hAnsi="宋体"/>
                <w:szCs w:val="21"/>
              </w:rPr>
              <w:t>)</w:t>
            </w:r>
            <w:r>
              <w:rPr>
                <w:rFonts w:hint="eastAsia" w:ascii="宋体" w:hAnsi="宋体"/>
                <w:szCs w:val="21"/>
              </w:rPr>
              <w:t>内设备技术要求</w:t>
            </w:r>
          </w:p>
        </w:tc>
        <w:tc>
          <w:tcPr>
            <w:tcW w:w="4859" w:type="dxa"/>
            <w:tcBorders>
              <w:top w:val="nil"/>
              <w:left w:val="nil"/>
              <w:bottom w:val="single" w:color="auto" w:sz="4" w:space="0"/>
              <w:right w:val="single" w:color="auto" w:sz="4" w:space="0"/>
            </w:tcBorders>
            <w:vAlign w:val="center"/>
          </w:tcPr>
          <w:p>
            <w:pPr>
              <w:widowControl/>
              <w:jc w:val="left"/>
              <w:rPr>
                <w:rFonts w:ascii="宋体"/>
                <w:szCs w:val="21"/>
              </w:rPr>
            </w:pPr>
            <w:r>
              <w:rPr>
                <w:rFonts w:hint="eastAsia" w:ascii="宋体" w:hAnsi="宋体"/>
                <w:szCs w:val="21"/>
              </w:rPr>
              <w:t>规定了农村有线广播台（站）内设备的性能要求、基本参数及系统指标要求。</w:t>
            </w:r>
          </w:p>
        </w:tc>
        <w:tc>
          <w:tcPr>
            <w:tcW w:w="2685" w:type="dxa"/>
            <w:tcBorders>
              <w:top w:val="nil"/>
              <w:left w:val="nil"/>
              <w:bottom w:val="single" w:color="auto" w:sz="4" w:space="0"/>
              <w:right w:val="single" w:color="auto" w:sz="4" w:space="0"/>
            </w:tcBorders>
            <w:vAlign w:val="center"/>
          </w:tcPr>
          <w:p>
            <w:r>
              <w:rPr>
                <w:rFonts w:hint="eastAsia" w:ascii="宋体" w:hAnsi="宋体" w:cs="宋体"/>
                <w:bCs/>
                <w:szCs w:val="21"/>
              </w:rPr>
              <w:t>技术过时落后</w:t>
            </w:r>
          </w:p>
        </w:tc>
      </w:tr>
      <w:tr>
        <w:tblPrEx>
          <w:tblLayout w:type="fixed"/>
        </w:tblPrEx>
        <w:trPr>
          <w:cantSplit/>
          <w:trHeight w:val="378" w:hRule="atLeast"/>
        </w:trPr>
        <w:tc>
          <w:tcPr>
            <w:tcW w:w="698" w:type="dxa"/>
            <w:tcBorders>
              <w:top w:val="nil"/>
              <w:left w:val="single" w:color="auto" w:sz="4" w:space="0"/>
              <w:bottom w:val="single" w:color="auto" w:sz="4" w:space="0"/>
              <w:right w:val="single" w:color="auto" w:sz="4" w:space="0"/>
            </w:tcBorders>
            <w:vAlign w:val="center"/>
          </w:tcPr>
          <w:p>
            <w:pPr>
              <w:widowControl/>
              <w:jc w:val="center"/>
              <w:rPr>
                <w:rFonts w:ascii="宋体" w:hAnsi="宋体"/>
                <w:szCs w:val="21"/>
              </w:rPr>
            </w:pPr>
            <w:r>
              <w:rPr>
                <w:rFonts w:ascii="宋体" w:hAnsi="宋体"/>
                <w:szCs w:val="21"/>
              </w:rPr>
              <w:t>4</w:t>
            </w:r>
          </w:p>
        </w:tc>
        <w:tc>
          <w:tcPr>
            <w:tcW w:w="2547" w:type="dxa"/>
            <w:tcBorders>
              <w:top w:val="nil"/>
              <w:left w:val="nil"/>
              <w:bottom w:val="single" w:color="auto" w:sz="4" w:space="0"/>
              <w:right w:val="single" w:color="auto" w:sz="4" w:space="0"/>
            </w:tcBorders>
            <w:vAlign w:val="center"/>
          </w:tcPr>
          <w:p>
            <w:pPr>
              <w:widowControl/>
              <w:jc w:val="left"/>
              <w:rPr>
                <w:rFonts w:ascii="宋体" w:hAnsi="宋体"/>
                <w:szCs w:val="21"/>
              </w:rPr>
            </w:pPr>
            <w:r>
              <w:rPr>
                <w:rFonts w:ascii="宋体" w:hAnsi="宋体"/>
                <w:szCs w:val="21"/>
              </w:rPr>
              <w:t>GY/T 20-1984</w:t>
            </w:r>
          </w:p>
        </w:tc>
        <w:tc>
          <w:tcPr>
            <w:tcW w:w="3385" w:type="dxa"/>
            <w:tcBorders>
              <w:top w:val="nil"/>
              <w:left w:val="nil"/>
              <w:bottom w:val="single" w:color="auto" w:sz="4" w:space="0"/>
              <w:right w:val="single" w:color="auto" w:sz="4" w:space="0"/>
            </w:tcBorders>
            <w:vAlign w:val="center"/>
          </w:tcPr>
          <w:p>
            <w:pPr>
              <w:widowControl/>
              <w:jc w:val="left"/>
              <w:rPr>
                <w:rFonts w:ascii="宋体"/>
                <w:szCs w:val="21"/>
              </w:rPr>
            </w:pPr>
            <w:r>
              <w:rPr>
                <w:rFonts w:hint="eastAsia" w:ascii="宋体" w:hAnsi="宋体"/>
                <w:szCs w:val="21"/>
              </w:rPr>
              <w:t>农村有线广播设备维护规程</w:t>
            </w:r>
          </w:p>
        </w:tc>
        <w:tc>
          <w:tcPr>
            <w:tcW w:w="4859" w:type="dxa"/>
            <w:tcBorders>
              <w:top w:val="nil"/>
              <w:left w:val="nil"/>
              <w:bottom w:val="single" w:color="auto" w:sz="4" w:space="0"/>
              <w:right w:val="single" w:color="auto" w:sz="4" w:space="0"/>
            </w:tcBorders>
            <w:vAlign w:val="center"/>
          </w:tcPr>
          <w:p>
            <w:pPr>
              <w:widowControl/>
              <w:jc w:val="left"/>
              <w:rPr>
                <w:rFonts w:ascii="宋体"/>
                <w:szCs w:val="21"/>
              </w:rPr>
            </w:pPr>
            <w:r>
              <w:rPr>
                <w:rFonts w:hint="eastAsia" w:ascii="宋体" w:hAnsi="宋体"/>
                <w:szCs w:val="21"/>
              </w:rPr>
              <w:t>其内容包括设备维护的基本任务和一般规定。</w:t>
            </w:r>
          </w:p>
        </w:tc>
        <w:tc>
          <w:tcPr>
            <w:tcW w:w="2685" w:type="dxa"/>
            <w:tcBorders>
              <w:top w:val="nil"/>
              <w:left w:val="nil"/>
              <w:bottom w:val="single" w:color="auto" w:sz="4" w:space="0"/>
              <w:right w:val="single" w:color="auto" w:sz="4" w:space="0"/>
            </w:tcBorders>
            <w:vAlign w:val="center"/>
          </w:tcPr>
          <w:p>
            <w:r>
              <w:rPr>
                <w:rFonts w:hint="eastAsia" w:ascii="宋体" w:hAnsi="宋体" w:cs="宋体"/>
                <w:bCs/>
                <w:szCs w:val="21"/>
              </w:rPr>
              <w:t>技术过时落后</w:t>
            </w:r>
          </w:p>
        </w:tc>
      </w:tr>
      <w:tr>
        <w:tblPrEx>
          <w:tblLayout w:type="fixed"/>
          <w:tblCellMar>
            <w:top w:w="0" w:type="dxa"/>
            <w:left w:w="108" w:type="dxa"/>
            <w:bottom w:w="0" w:type="dxa"/>
            <w:right w:w="108" w:type="dxa"/>
          </w:tblCellMar>
        </w:tblPrEx>
        <w:trPr>
          <w:cantSplit/>
          <w:trHeight w:val="20" w:hRule="atLeast"/>
        </w:trPr>
        <w:tc>
          <w:tcPr>
            <w:tcW w:w="698" w:type="dxa"/>
            <w:tcBorders>
              <w:top w:val="nil"/>
              <w:left w:val="single" w:color="auto" w:sz="4" w:space="0"/>
              <w:bottom w:val="single" w:color="auto" w:sz="4" w:space="0"/>
              <w:right w:val="single" w:color="auto" w:sz="4" w:space="0"/>
            </w:tcBorders>
            <w:vAlign w:val="center"/>
          </w:tcPr>
          <w:p>
            <w:pPr>
              <w:widowControl/>
              <w:jc w:val="center"/>
              <w:rPr>
                <w:rFonts w:ascii="宋体" w:hAnsi="宋体"/>
                <w:szCs w:val="21"/>
              </w:rPr>
            </w:pPr>
            <w:r>
              <w:rPr>
                <w:rFonts w:ascii="宋体" w:hAnsi="宋体"/>
                <w:szCs w:val="21"/>
              </w:rPr>
              <w:t>5</w:t>
            </w:r>
          </w:p>
        </w:tc>
        <w:tc>
          <w:tcPr>
            <w:tcW w:w="2547" w:type="dxa"/>
            <w:tcBorders>
              <w:top w:val="nil"/>
              <w:left w:val="nil"/>
              <w:bottom w:val="single" w:color="auto" w:sz="4" w:space="0"/>
              <w:right w:val="single" w:color="auto" w:sz="4" w:space="0"/>
            </w:tcBorders>
            <w:vAlign w:val="center"/>
          </w:tcPr>
          <w:p>
            <w:pPr>
              <w:widowControl/>
              <w:jc w:val="left"/>
              <w:rPr>
                <w:rFonts w:ascii="宋体" w:hAnsi="宋体"/>
                <w:szCs w:val="21"/>
              </w:rPr>
            </w:pPr>
            <w:r>
              <w:rPr>
                <w:rFonts w:ascii="宋体" w:hAnsi="宋体"/>
                <w:szCs w:val="21"/>
              </w:rPr>
              <w:t>GY/T 68-1989</w:t>
            </w:r>
          </w:p>
        </w:tc>
        <w:tc>
          <w:tcPr>
            <w:tcW w:w="3385" w:type="dxa"/>
            <w:tcBorders>
              <w:top w:val="nil"/>
              <w:left w:val="nil"/>
              <w:bottom w:val="single" w:color="auto" w:sz="4" w:space="0"/>
              <w:right w:val="single" w:color="auto" w:sz="4" w:space="0"/>
            </w:tcBorders>
            <w:vAlign w:val="center"/>
          </w:tcPr>
          <w:p>
            <w:pPr>
              <w:widowControl/>
              <w:jc w:val="left"/>
              <w:rPr>
                <w:rFonts w:ascii="宋体"/>
                <w:szCs w:val="21"/>
              </w:rPr>
            </w:pPr>
            <w:r>
              <w:rPr>
                <w:rFonts w:hint="eastAsia" w:ascii="宋体" w:hAnsi="宋体"/>
                <w:szCs w:val="21"/>
              </w:rPr>
              <w:t>农村有线广播播出系统设备互连的接口参数及接插件技术要求</w:t>
            </w:r>
          </w:p>
        </w:tc>
        <w:tc>
          <w:tcPr>
            <w:tcW w:w="4859" w:type="dxa"/>
            <w:tcBorders>
              <w:top w:val="nil"/>
              <w:left w:val="nil"/>
              <w:bottom w:val="single" w:color="auto" w:sz="4" w:space="0"/>
              <w:right w:val="single" w:color="auto" w:sz="4" w:space="0"/>
            </w:tcBorders>
            <w:vAlign w:val="center"/>
          </w:tcPr>
          <w:p>
            <w:pPr>
              <w:widowControl/>
              <w:jc w:val="left"/>
              <w:rPr>
                <w:rFonts w:ascii="宋体"/>
                <w:szCs w:val="21"/>
              </w:rPr>
            </w:pPr>
            <w:r>
              <w:rPr>
                <w:rFonts w:hint="eastAsia" w:ascii="宋体" w:hAnsi="宋体"/>
                <w:szCs w:val="21"/>
              </w:rPr>
              <w:t>规定了农村有线广播播出系统设备之间连接接口的参数及互连用接插件的技术要求。</w:t>
            </w:r>
          </w:p>
        </w:tc>
        <w:tc>
          <w:tcPr>
            <w:tcW w:w="2685" w:type="dxa"/>
            <w:tcBorders>
              <w:top w:val="nil"/>
              <w:left w:val="nil"/>
              <w:bottom w:val="single" w:color="auto" w:sz="4" w:space="0"/>
              <w:right w:val="single" w:color="auto" w:sz="4" w:space="0"/>
            </w:tcBorders>
            <w:vAlign w:val="center"/>
          </w:tcPr>
          <w:p>
            <w:r>
              <w:rPr>
                <w:rFonts w:hint="eastAsia" w:ascii="宋体" w:hAnsi="宋体" w:cs="宋体"/>
                <w:bCs/>
                <w:szCs w:val="21"/>
              </w:rPr>
              <w:t>技术过时落后</w:t>
            </w:r>
          </w:p>
        </w:tc>
      </w:tr>
      <w:tr>
        <w:tblPrEx>
          <w:tblLayout w:type="fixed"/>
          <w:tblCellMar>
            <w:top w:w="0" w:type="dxa"/>
            <w:left w:w="108" w:type="dxa"/>
            <w:bottom w:w="0" w:type="dxa"/>
            <w:right w:w="108" w:type="dxa"/>
          </w:tblCellMar>
        </w:tblPrEx>
        <w:trPr>
          <w:cantSplit/>
          <w:trHeight w:val="20" w:hRule="atLeast"/>
        </w:trPr>
        <w:tc>
          <w:tcPr>
            <w:tcW w:w="698" w:type="dxa"/>
            <w:tcBorders>
              <w:top w:val="nil"/>
              <w:left w:val="single" w:color="auto" w:sz="4" w:space="0"/>
              <w:bottom w:val="single" w:color="auto" w:sz="4" w:space="0"/>
              <w:right w:val="single" w:color="auto" w:sz="4" w:space="0"/>
            </w:tcBorders>
            <w:vAlign w:val="center"/>
          </w:tcPr>
          <w:p>
            <w:pPr>
              <w:widowControl/>
              <w:jc w:val="center"/>
              <w:rPr>
                <w:rFonts w:ascii="宋体" w:hAnsi="宋体"/>
                <w:szCs w:val="21"/>
              </w:rPr>
            </w:pPr>
            <w:r>
              <w:rPr>
                <w:rFonts w:ascii="宋体" w:hAnsi="宋体"/>
                <w:szCs w:val="21"/>
              </w:rPr>
              <w:t>6</w:t>
            </w:r>
          </w:p>
        </w:tc>
        <w:tc>
          <w:tcPr>
            <w:tcW w:w="2547" w:type="dxa"/>
            <w:tcBorders>
              <w:top w:val="nil"/>
              <w:left w:val="nil"/>
              <w:bottom w:val="single" w:color="auto" w:sz="4" w:space="0"/>
              <w:right w:val="single" w:color="auto" w:sz="4" w:space="0"/>
            </w:tcBorders>
            <w:vAlign w:val="center"/>
          </w:tcPr>
          <w:p>
            <w:pPr>
              <w:widowControl/>
              <w:jc w:val="left"/>
              <w:rPr>
                <w:rFonts w:ascii="宋体" w:hAnsi="宋体"/>
                <w:szCs w:val="21"/>
              </w:rPr>
            </w:pPr>
            <w:r>
              <w:rPr>
                <w:rFonts w:ascii="宋体" w:hAnsi="宋体"/>
                <w:szCs w:val="21"/>
              </w:rPr>
              <w:t>GY/T 80-1989</w:t>
            </w:r>
          </w:p>
        </w:tc>
        <w:tc>
          <w:tcPr>
            <w:tcW w:w="3385" w:type="dxa"/>
            <w:tcBorders>
              <w:top w:val="nil"/>
              <w:left w:val="nil"/>
              <w:bottom w:val="single" w:color="auto" w:sz="4" w:space="0"/>
              <w:right w:val="single" w:color="auto" w:sz="4" w:space="0"/>
            </w:tcBorders>
            <w:vAlign w:val="center"/>
          </w:tcPr>
          <w:p>
            <w:pPr>
              <w:widowControl/>
              <w:jc w:val="left"/>
              <w:rPr>
                <w:rFonts w:ascii="宋体"/>
                <w:szCs w:val="21"/>
              </w:rPr>
            </w:pPr>
            <w:r>
              <w:rPr>
                <w:rFonts w:hint="eastAsia" w:ascii="宋体" w:hAnsi="宋体"/>
                <w:szCs w:val="21"/>
              </w:rPr>
              <w:t>农村有线广播台</w:t>
            </w:r>
            <w:r>
              <w:rPr>
                <w:rFonts w:ascii="宋体" w:hAnsi="宋体"/>
                <w:szCs w:val="21"/>
              </w:rPr>
              <w:t>(</w:t>
            </w:r>
            <w:r>
              <w:rPr>
                <w:rFonts w:hint="eastAsia" w:ascii="宋体" w:hAnsi="宋体"/>
                <w:szCs w:val="21"/>
              </w:rPr>
              <w:t>站</w:t>
            </w:r>
            <w:r>
              <w:rPr>
                <w:rFonts w:ascii="宋体" w:hAnsi="宋体"/>
                <w:szCs w:val="21"/>
              </w:rPr>
              <w:t>)</w:t>
            </w:r>
            <w:r>
              <w:rPr>
                <w:rFonts w:hint="eastAsia" w:ascii="宋体" w:hAnsi="宋体"/>
                <w:szCs w:val="21"/>
              </w:rPr>
              <w:t>内设备技术指标测量方法</w:t>
            </w:r>
          </w:p>
        </w:tc>
        <w:tc>
          <w:tcPr>
            <w:tcW w:w="4859" w:type="dxa"/>
            <w:tcBorders>
              <w:top w:val="nil"/>
              <w:left w:val="nil"/>
              <w:bottom w:val="single" w:color="auto" w:sz="4" w:space="0"/>
              <w:right w:val="single" w:color="auto" w:sz="4" w:space="0"/>
            </w:tcBorders>
            <w:vAlign w:val="center"/>
          </w:tcPr>
          <w:p>
            <w:pPr>
              <w:widowControl/>
              <w:jc w:val="left"/>
              <w:rPr>
                <w:rFonts w:ascii="宋体"/>
                <w:szCs w:val="21"/>
              </w:rPr>
            </w:pPr>
            <w:r>
              <w:rPr>
                <w:rFonts w:hint="eastAsia" w:ascii="宋体" w:hAnsi="宋体"/>
                <w:szCs w:val="21"/>
              </w:rPr>
              <w:t>规定了有线广播台（站）内主要设备，播音控制台、扩音机、调幅转播接收机、调频转播接收机、磁带录音机、电唱盘、传声器及播出系统的主要技术指标的测量方法。</w:t>
            </w:r>
          </w:p>
        </w:tc>
        <w:tc>
          <w:tcPr>
            <w:tcW w:w="2685" w:type="dxa"/>
            <w:tcBorders>
              <w:top w:val="nil"/>
              <w:left w:val="nil"/>
              <w:bottom w:val="single" w:color="auto" w:sz="4" w:space="0"/>
              <w:right w:val="single" w:color="auto" w:sz="4" w:space="0"/>
            </w:tcBorders>
            <w:vAlign w:val="center"/>
          </w:tcPr>
          <w:p>
            <w:r>
              <w:rPr>
                <w:rFonts w:hint="eastAsia" w:ascii="宋体" w:hAnsi="宋体" w:cs="宋体"/>
                <w:bCs/>
                <w:szCs w:val="21"/>
              </w:rPr>
              <w:t>技术过时落后</w:t>
            </w:r>
          </w:p>
        </w:tc>
      </w:tr>
      <w:tr>
        <w:tblPrEx>
          <w:tblLayout w:type="fixed"/>
          <w:tblCellMar>
            <w:top w:w="0" w:type="dxa"/>
            <w:left w:w="108" w:type="dxa"/>
            <w:bottom w:w="0" w:type="dxa"/>
            <w:right w:w="108" w:type="dxa"/>
          </w:tblCellMar>
        </w:tblPrEx>
        <w:trPr>
          <w:cantSplit/>
          <w:trHeight w:val="20" w:hRule="atLeast"/>
        </w:trPr>
        <w:tc>
          <w:tcPr>
            <w:tcW w:w="698" w:type="dxa"/>
            <w:tcBorders>
              <w:top w:val="nil"/>
              <w:left w:val="single" w:color="auto" w:sz="4" w:space="0"/>
              <w:bottom w:val="single" w:color="auto" w:sz="4" w:space="0"/>
              <w:right w:val="single" w:color="auto" w:sz="4" w:space="0"/>
            </w:tcBorders>
            <w:vAlign w:val="center"/>
          </w:tcPr>
          <w:p>
            <w:pPr>
              <w:widowControl/>
              <w:jc w:val="center"/>
              <w:rPr>
                <w:rFonts w:ascii="宋体" w:hAnsi="宋体"/>
                <w:szCs w:val="21"/>
              </w:rPr>
            </w:pPr>
            <w:r>
              <w:rPr>
                <w:rFonts w:ascii="宋体" w:hAnsi="宋体"/>
                <w:szCs w:val="21"/>
              </w:rPr>
              <w:t>7</w:t>
            </w:r>
          </w:p>
        </w:tc>
        <w:tc>
          <w:tcPr>
            <w:tcW w:w="2547" w:type="dxa"/>
            <w:tcBorders>
              <w:top w:val="nil"/>
              <w:left w:val="nil"/>
              <w:bottom w:val="single" w:color="auto" w:sz="4" w:space="0"/>
              <w:right w:val="single" w:color="auto" w:sz="4" w:space="0"/>
            </w:tcBorders>
            <w:vAlign w:val="center"/>
          </w:tcPr>
          <w:p>
            <w:pPr>
              <w:widowControl/>
              <w:jc w:val="left"/>
              <w:rPr>
                <w:rFonts w:ascii="宋体" w:hAnsi="宋体"/>
                <w:szCs w:val="21"/>
              </w:rPr>
            </w:pPr>
            <w:r>
              <w:rPr>
                <w:rFonts w:ascii="宋体" w:hAnsi="宋体"/>
                <w:szCs w:val="21"/>
              </w:rPr>
              <w:t>GY/T 124-1995</w:t>
            </w:r>
          </w:p>
        </w:tc>
        <w:tc>
          <w:tcPr>
            <w:tcW w:w="3385" w:type="dxa"/>
            <w:tcBorders>
              <w:top w:val="nil"/>
              <w:left w:val="nil"/>
              <w:bottom w:val="single" w:color="auto" w:sz="4" w:space="0"/>
              <w:right w:val="single" w:color="auto" w:sz="4" w:space="0"/>
            </w:tcBorders>
            <w:vAlign w:val="center"/>
          </w:tcPr>
          <w:p>
            <w:pPr>
              <w:widowControl/>
              <w:jc w:val="left"/>
              <w:rPr>
                <w:rFonts w:ascii="宋体"/>
                <w:szCs w:val="21"/>
              </w:rPr>
            </w:pPr>
            <w:r>
              <w:rPr>
                <w:rFonts w:hint="eastAsia" w:ascii="宋体" w:hAnsi="宋体"/>
                <w:szCs w:val="21"/>
              </w:rPr>
              <w:t>有线电视系统干线放大器入网技术条件和测量方法</w:t>
            </w:r>
          </w:p>
        </w:tc>
        <w:tc>
          <w:tcPr>
            <w:tcW w:w="4859" w:type="dxa"/>
            <w:tcBorders>
              <w:top w:val="nil"/>
              <w:left w:val="nil"/>
              <w:bottom w:val="single" w:color="auto" w:sz="4" w:space="0"/>
              <w:right w:val="single" w:color="auto" w:sz="4" w:space="0"/>
            </w:tcBorders>
            <w:vAlign w:val="center"/>
          </w:tcPr>
          <w:p>
            <w:pPr>
              <w:widowControl/>
              <w:jc w:val="left"/>
              <w:rPr>
                <w:rFonts w:ascii="宋体"/>
                <w:szCs w:val="21"/>
              </w:rPr>
            </w:pPr>
            <w:r>
              <w:rPr>
                <w:rFonts w:hint="eastAsia" w:ascii="宋体" w:hAnsi="宋体"/>
                <w:szCs w:val="21"/>
              </w:rPr>
              <w:t>规定了有线电视干线放大器的性能参数要求和测量方法，对于能确保同样测量准确度的任何等效测量方法也可以应用。</w:t>
            </w:r>
          </w:p>
        </w:tc>
        <w:tc>
          <w:tcPr>
            <w:tcW w:w="2685" w:type="dxa"/>
            <w:tcBorders>
              <w:top w:val="nil"/>
              <w:left w:val="nil"/>
              <w:bottom w:val="single" w:color="auto" w:sz="4" w:space="0"/>
              <w:right w:val="single" w:color="auto" w:sz="4" w:space="0"/>
            </w:tcBorders>
            <w:vAlign w:val="center"/>
          </w:tcPr>
          <w:p>
            <w:r>
              <w:rPr>
                <w:rFonts w:hint="eastAsia" w:ascii="宋体" w:hAnsi="宋体" w:cs="宋体"/>
                <w:bCs/>
                <w:szCs w:val="21"/>
              </w:rPr>
              <w:t>技术过时落后</w:t>
            </w:r>
          </w:p>
        </w:tc>
      </w:tr>
      <w:tr>
        <w:tblPrEx>
          <w:tblLayout w:type="fixed"/>
          <w:tblCellMar>
            <w:top w:w="0" w:type="dxa"/>
            <w:left w:w="108" w:type="dxa"/>
            <w:bottom w:w="0" w:type="dxa"/>
            <w:right w:w="108" w:type="dxa"/>
          </w:tblCellMar>
        </w:tblPrEx>
        <w:trPr>
          <w:cantSplit/>
          <w:trHeight w:val="20" w:hRule="atLeast"/>
        </w:trPr>
        <w:tc>
          <w:tcPr>
            <w:tcW w:w="698" w:type="dxa"/>
            <w:tcBorders>
              <w:top w:val="nil"/>
              <w:left w:val="single" w:color="auto" w:sz="4" w:space="0"/>
              <w:bottom w:val="single" w:color="auto" w:sz="4" w:space="0"/>
              <w:right w:val="single" w:color="auto" w:sz="4" w:space="0"/>
            </w:tcBorders>
            <w:vAlign w:val="center"/>
          </w:tcPr>
          <w:p>
            <w:pPr>
              <w:widowControl/>
              <w:jc w:val="center"/>
              <w:rPr>
                <w:rFonts w:ascii="宋体" w:hAnsi="宋体"/>
                <w:szCs w:val="21"/>
              </w:rPr>
            </w:pPr>
            <w:r>
              <w:rPr>
                <w:rFonts w:ascii="宋体" w:hAnsi="宋体"/>
                <w:szCs w:val="21"/>
              </w:rPr>
              <w:t>8</w:t>
            </w:r>
          </w:p>
        </w:tc>
        <w:tc>
          <w:tcPr>
            <w:tcW w:w="2547" w:type="dxa"/>
            <w:tcBorders>
              <w:top w:val="nil"/>
              <w:left w:val="nil"/>
              <w:bottom w:val="single" w:color="auto" w:sz="4" w:space="0"/>
              <w:right w:val="single" w:color="auto" w:sz="4" w:space="0"/>
            </w:tcBorders>
            <w:vAlign w:val="center"/>
          </w:tcPr>
          <w:p>
            <w:pPr>
              <w:widowControl/>
              <w:jc w:val="left"/>
              <w:rPr>
                <w:rFonts w:ascii="宋体" w:hAnsi="宋体"/>
                <w:szCs w:val="21"/>
              </w:rPr>
            </w:pPr>
            <w:r>
              <w:rPr>
                <w:rFonts w:ascii="宋体" w:hAnsi="宋体"/>
                <w:szCs w:val="21"/>
              </w:rPr>
              <w:t xml:space="preserve">GY/T 139-1999 </w:t>
            </w:r>
          </w:p>
        </w:tc>
        <w:tc>
          <w:tcPr>
            <w:tcW w:w="3385" w:type="dxa"/>
            <w:tcBorders>
              <w:top w:val="nil"/>
              <w:left w:val="nil"/>
              <w:bottom w:val="single" w:color="auto" w:sz="4" w:space="0"/>
              <w:right w:val="single" w:color="auto" w:sz="4" w:space="0"/>
            </w:tcBorders>
            <w:vAlign w:val="center"/>
          </w:tcPr>
          <w:p>
            <w:pPr>
              <w:widowControl/>
              <w:jc w:val="left"/>
              <w:rPr>
                <w:rFonts w:ascii="宋体"/>
                <w:szCs w:val="21"/>
              </w:rPr>
            </w:pPr>
            <w:r>
              <w:rPr>
                <w:rFonts w:hint="eastAsia" w:ascii="宋体" w:hAnsi="宋体"/>
                <w:szCs w:val="21"/>
              </w:rPr>
              <w:t>有线电视系统电视解调器入网技术条件和测量方法</w:t>
            </w:r>
          </w:p>
        </w:tc>
        <w:tc>
          <w:tcPr>
            <w:tcW w:w="4859" w:type="dxa"/>
            <w:tcBorders>
              <w:top w:val="nil"/>
              <w:left w:val="nil"/>
              <w:bottom w:val="single" w:color="auto" w:sz="4" w:space="0"/>
              <w:right w:val="single" w:color="auto" w:sz="4" w:space="0"/>
            </w:tcBorders>
            <w:vAlign w:val="center"/>
          </w:tcPr>
          <w:p>
            <w:pPr>
              <w:widowControl/>
              <w:jc w:val="left"/>
              <w:rPr>
                <w:rFonts w:ascii="宋体"/>
                <w:szCs w:val="21"/>
              </w:rPr>
            </w:pPr>
            <w:r>
              <w:rPr>
                <w:rFonts w:hint="eastAsia" w:ascii="宋体" w:hAnsi="宋体"/>
                <w:szCs w:val="21"/>
              </w:rPr>
              <w:t>规定了有线电视系统中</w:t>
            </w:r>
            <w:r>
              <w:rPr>
                <w:rFonts w:ascii="宋体" w:hAnsi="宋体"/>
                <w:szCs w:val="21"/>
              </w:rPr>
              <w:t xml:space="preserve">PAL-D </w:t>
            </w:r>
            <w:r>
              <w:rPr>
                <w:rFonts w:hint="eastAsia" w:ascii="宋体" w:hAnsi="宋体"/>
                <w:szCs w:val="21"/>
              </w:rPr>
              <w:t>制模拟电视解调器的性能参数要求和测量方法。</w:t>
            </w:r>
          </w:p>
        </w:tc>
        <w:tc>
          <w:tcPr>
            <w:tcW w:w="2685" w:type="dxa"/>
            <w:tcBorders>
              <w:top w:val="nil"/>
              <w:left w:val="nil"/>
              <w:bottom w:val="single" w:color="auto" w:sz="4" w:space="0"/>
              <w:right w:val="single" w:color="auto" w:sz="4" w:space="0"/>
            </w:tcBorders>
            <w:vAlign w:val="center"/>
          </w:tcPr>
          <w:p>
            <w:r>
              <w:rPr>
                <w:rFonts w:hint="eastAsia" w:ascii="宋体" w:hAnsi="宋体" w:cs="宋体"/>
                <w:bCs/>
                <w:szCs w:val="21"/>
              </w:rPr>
              <w:t>技术过时落后</w:t>
            </w:r>
          </w:p>
        </w:tc>
      </w:tr>
      <w:tr>
        <w:tblPrEx>
          <w:tblLayout w:type="fixed"/>
          <w:tblCellMar>
            <w:top w:w="0" w:type="dxa"/>
            <w:left w:w="108" w:type="dxa"/>
            <w:bottom w:w="0" w:type="dxa"/>
            <w:right w:w="108" w:type="dxa"/>
          </w:tblCellMar>
        </w:tblPrEx>
        <w:trPr>
          <w:cantSplit/>
          <w:trHeight w:val="20" w:hRule="atLeast"/>
        </w:trPr>
        <w:tc>
          <w:tcPr>
            <w:tcW w:w="698" w:type="dxa"/>
            <w:tcBorders>
              <w:top w:val="nil"/>
              <w:left w:val="single" w:color="auto" w:sz="4" w:space="0"/>
              <w:bottom w:val="single" w:color="auto" w:sz="4" w:space="0"/>
              <w:right w:val="single" w:color="auto" w:sz="4" w:space="0"/>
            </w:tcBorders>
            <w:vAlign w:val="center"/>
          </w:tcPr>
          <w:p>
            <w:pPr>
              <w:widowControl/>
              <w:jc w:val="center"/>
              <w:rPr>
                <w:rFonts w:ascii="宋体" w:hAnsi="宋体"/>
                <w:szCs w:val="21"/>
              </w:rPr>
            </w:pPr>
            <w:r>
              <w:rPr>
                <w:rFonts w:ascii="宋体" w:hAnsi="宋体"/>
                <w:szCs w:val="21"/>
              </w:rPr>
              <w:t>9</w:t>
            </w:r>
          </w:p>
        </w:tc>
        <w:tc>
          <w:tcPr>
            <w:tcW w:w="2547" w:type="dxa"/>
            <w:tcBorders>
              <w:top w:val="nil"/>
              <w:left w:val="nil"/>
              <w:bottom w:val="single" w:color="auto" w:sz="4" w:space="0"/>
              <w:right w:val="single" w:color="auto" w:sz="4" w:space="0"/>
            </w:tcBorders>
            <w:vAlign w:val="center"/>
          </w:tcPr>
          <w:p>
            <w:pPr>
              <w:widowControl/>
              <w:jc w:val="left"/>
              <w:rPr>
                <w:rFonts w:ascii="宋体" w:hAnsi="宋体"/>
                <w:szCs w:val="21"/>
              </w:rPr>
            </w:pPr>
            <w:r>
              <w:rPr>
                <w:rFonts w:ascii="宋体" w:hAnsi="宋体"/>
                <w:szCs w:val="21"/>
              </w:rPr>
              <w:t xml:space="preserve">GY/T 153-2000 </w:t>
            </w:r>
          </w:p>
        </w:tc>
        <w:tc>
          <w:tcPr>
            <w:tcW w:w="3385" w:type="dxa"/>
            <w:tcBorders>
              <w:top w:val="nil"/>
              <w:left w:val="nil"/>
              <w:bottom w:val="single" w:color="auto" w:sz="4" w:space="0"/>
              <w:right w:val="single" w:color="auto" w:sz="4" w:space="0"/>
            </w:tcBorders>
            <w:vAlign w:val="center"/>
          </w:tcPr>
          <w:p>
            <w:pPr>
              <w:widowControl/>
              <w:jc w:val="left"/>
              <w:rPr>
                <w:rFonts w:ascii="宋体"/>
                <w:szCs w:val="21"/>
              </w:rPr>
            </w:pPr>
            <w:r>
              <w:rPr>
                <w:rFonts w:hint="eastAsia" w:ascii="宋体" w:hAnsi="宋体"/>
                <w:szCs w:val="21"/>
              </w:rPr>
              <w:t>有线电视可寻址用户管理系统终端控制器入网技术条件和测量方法</w:t>
            </w:r>
          </w:p>
        </w:tc>
        <w:tc>
          <w:tcPr>
            <w:tcW w:w="4859" w:type="dxa"/>
            <w:tcBorders>
              <w:top w:val="nil"/>
              <w:left w:val="nil"/>
              <w:bottom w:val="single" w:color="auto" w:sz="4" w:space="0"/>
              <w:right w:val="single" w:color="auto" w:sz="4" w:space="0"/>
            </w:tcBorders>
            <w:vAlign w:val="center"/>
          </w:tcPr>
          <w:p>
            <w:pPr>
              <w:widowControl/>
              <w:jc w:val="left"/>
              <w:rPr>
                <w:rFonts w:ascii="宋体"/>
                <w:szCs w:val="21"/>
              </w:rPr>
            </w:pPr>
            <w:r>
              <w:rPr>
                <w:rFonts w:hint="eastAsia" w:ascii="宋体" w:hAnsi="宋体"/>
                <w:szCs w:val="21"/>
              </w:rPr>
              <w:t>规定了有线电视可寻址用户管理系统终端控制器的性能参数要求和测量方法，对于确保同样测量准确度的任何等效测量方法也可以应用。</w:t>
            </w:r>
          </w:p>
        </w:tc>
        <w:tc>
          <w:tcPr>
            <w:tcW w:w="2685" w:type="dxa"/>
            <w:tcBorders>
              <w:top w:val="nil"/>
              <w:left w:val="nil"/>
              <w:bottom w:val="single" w:color="auto" w:sz="4" w:space="0"/>
              <w:right w:val="single" w:color="auto" w:sz="4" w:space="0"/>
            </w:tcBorders>
            <w:vAlign w:val="center"/>
          </w:tcPr>
          <w:p>
            <w:r>
              <w:rPr>
                <w:rFonts w:hint="eastAsia" w:ascii="宋体" w:hAnsi="宋体" w:cs="宋体"/>
                <w:bCs/>
                <w:szCs w:val="21"/>
              </w:rPr>
              <w:t>技术过时落后</w:t>
            </w:r>
          </w:p>
        </w:tc>
      </w:tr>
      <w:tr>
        <w:tblPrEx>
          <w:tblLayout w:type="fixed"/>
          <w:tblCellMar>
            <w:top w:w="0" w:type="dxa"/>
            <w:left w:w="108" w:type="dxa"/>
            <w:bottom w:w="0" w:type="dxa"/>
            <w:right w:w="108" w:type="dxa"/>
          </w:tblCellMar>
        </w:tblPrEx>
        <w:trPr>
          <w:cantSplit/>
          <w:trHeight w:val="20" w:hRule="atLeast"/>
        </w:trPr>
        <w:tc>
          <w:tcPr>
            <w:tcW w:w="698" w:type="dxa"/>
            <w:tcBorders>
              <w:top w:val="nil"/>
              <w:left w:val="single" w:color="auto" w:sz="4" w:space="0"/>
              <w:bottom w:val="single" w:color="auto" w:sz="4" w:space="0"/>
              <w:right w:val="single" w:color="auto" w:sz="4" w:space="0"/>
            </w:tcBorders>
            <w:vAlign w:val="center"/>
          </w:tcPr>
          <w:p>
            <w:pPr>
              <w:widowControl/>
              <w:jc w:val="center"/>
              <w:rPr>
                <w:rFonts w:ascii="宋体" w:hAnsi="宋体"/>
                <w:szCs w:val="21"/>
              </w:rPr>
            </w:pPr>
            <w:r>
              <w:rPr>
                <w:rFonts w:ascii="宋体" w:hAnsi="宋体"/>
                <w:szCs w:val="21"/>
              </w:rPr>
              <w:t>10</w:t>
            </w:r>
          </w:p>
        </w:tc>
        <w:tc>
          <w:tcPr>
            <w:tcW w:w="2547" w:type="dxa"/>
            <w:tcBorders>
              <w:top w:val="nil"/>
              <w:left w:val="nil"/>
              <w:bottom w:val="single" w:color="auto" w:sz="4" w:space="0"/>
              <w:right w:val="single" w:color="auto" w:sz="4" w:space="0"/>
            </w:tcBorders>
            <w:vAlign w:val="center"/>
          </w:tcPr>
          <w:p>
            <w:pPr>
              <w:widowControl/>
              <w:jc w:val="left"/>
              <w:rPr>
                <w:rFonts w:ascii="宋体" w:hAnsi="宋体"/>
                <w:szCs w:val="21"/>
              </w:rPr>
            </w:pPr>
            <w:r>
              <w:rPr>
                <w:rFonts w:ascii="宋体" w:hAnsi="宋体"/>
                <w:szCs w:val="21"/>
              </w:rPr>
              <w:t xml:space="preserve">GY/T 17-l984 </w:t>
            </w:r>
          </w:p>
        </w:tc>
        <w:tc>
          <w:tcPr>
            <w:tcW w:w="3385" w:type="dxa"/>
            <w:tcBorders>
              <w:top w:val="nil"/>
              <w:left w:val="nil"/>
              <w:bottom w:val="single" w:color="auto" w:sz="4" w:space="0"/>
              <w:right w:val="single" w:color="auto" w:sz="4" w:space="0"/>
            </w:tcBorders>
            <w:vAlign w:val="center"/>
          </w:tcPr>
          <w:p>
            <w:pPr>
              <w:widowControl/>
              <w:jc w:val="left"/>
              <w:rPr>
                <w:rFonts w:ascii="宋体"/>
                <w:szCs w:val="21"/>
              </w:rPr>
            </w:pPr>
            <w:r>
              <w:rPr>
                <w:rFonts w:hint="eastAsia" w:ascii="宋体" w:hAnsi="宋体"/>
                <w:szCs w:val="21"/>
              </w:rPr>
              <w:t>农村有线广播线路传输质量要求</w:t>
            </w:r>
          </w:p>
        </w:tc>
        <w:tc>
          <w:tcPr>
            <w:tcW w:w="4859" w:type="dxa"/>
            <w:tcBorders>
              <w:top w:val="nil"/>
              <w:left w:val="nil"/>
              <w:bottom w:val="single" w:color="auto" w:sz="4" w:space="0"/>
              <w:right w:val="single" w:color="auto" w:sz="4" w:space="0"/>
            </w:tcBorders>
            <w:vAlign w:val="center"/>
          </w:tcPr>
          <w:p>
            <w:pPr>
              <w:widowControl/>
              <w:jc w:val="left"/>
              <w:rPr>
                <w:rFonts w:ascii="宋体"/>
                <w:szCs w:val="21"/>
              </w:rPr>
            </w:pPr>
            <w:r>
              <w:rPr>
                <w:rFonts w:hint="eastAsia" w:ascii="宋体" w:hAnsi="宋体"/>
                <w:szCs w:val="21"/>
              </w:rPr>
              <w:t>规定了农村有线广播信号传输系统和功率传输系统的质量要求。</w:t>
            </w:r>
          </w:p>
        </w:tc>
        <w:tc>
          <w:tcPr>
            <w:tcW w:w="2685" w:type="dxa"/>
            <w:tcBorders>
              <w:top w:val="nil"/>
              <w:left w:val="nil"/>
              <w:bottom w:val="single" w:color="auto" w:sz="4" w:space="0"/>
              <w:right w:val="single" w:color="auto" w:sz="4" w:space="0"/>
            </w:tcBorders>
            <w:vAlign w:val="center"/>
          </w:tcPr>
          <w:p>
            <w:r>
              <w:rPr>
                <w:rFonts w:hint="eastAsia" w:ascii="宋体" w:hAnsi="宋体" w:cs="宋体"/>
                <w:bCs/>
                <w:szCs w:val="21"/>
              </w:rPr>
              <w:t>技术过时落后</w:t>
            </w:r>
          </w:p>
        </w:tc>
      </w:tr>
      <w:tr>
        <w:tblPrEx>
          <w:tblLayout w:type="fixed"/>
          <w:tblCellMar>
            <w:top w:w="0" w:type="dxa"/>
            <w:left w:w="108" w:type="dxa"/>
            <w:bottom w:w="0" w:type="dxa"/>
            <w:right w:w="108" w:type="dxa"/>
          </w:tblCellMar>
        </w:tblPrEx>
        <w:trPr>
          <w:cantSplit/>
          <w:trHeight w:val="447" w:hRule="atLeast"/>
        </w:trPr>
        <w:tc>
          <w:tcPr>
            <w:tcW w:w="698" w:type="dxa"/>
            <w:tcBorders>
              <w:top w:val="nil"/>
              <w:left w:val="single" w:color="auto" w:sz="4" w:space="0"/>
              <w:bottom w:val="single" w:color="auto" w:sz="4" w:space="0"/>
              <w:right w:val="single" w:color="auto" w:sz="4" w:space="0"/>
            </w:tcBorders>
            <w:vAlign w:val="center"/>
          </w:tcPr>
          <w:p>
            <w:pPr>
              <w:widowControl/>
              <w:jc w:val="center"/>
              <w:rPr>
                <w:rFonts w:ascii="宋体" w:hAnsi="宋体"/>
                <w:szCs w:val="21"/>
              </w:rPr>
            </w:pPr>
            <w:r>
              <w:rPr>
                <w:rFonts w:ascii="宋体" w:hAnsi="宋体"/>
                <w:szCs w:val="21"/>
              </w:rPr>
              <w:t>11</w:t>
            </w:r>
          </w:p>
        </w:tc>
        <w:tc>
          <w:tcPr>
            <w:tcW w:w="2547" w:type="dxa"/>
            <w:tcBorders>
              <w:top w:val="nil"/>
              <w:left w:val="nil"/>
              <w:bottom w:val="single" w:color="auto" w:sz="4" w:space="0"/>
              <w:right w:val="single" w:color="auto" w:sz="4" w:space="0"/>
            </w:tcBorders>
            <w:vAlign w:val="center"/>
          </w:tcPr>
          <w:p>
            <w:pPr>
              <w:widowControl/>
              <w:jc w:val="left"/>
              <w:rPr>
                <w:rFonts w:ascii="宋体" w:hAnsi="宋体"/>
                <w:szCs w:val="21"/>
              </w:rPr>
            </w:pPr>
            <w:r>
              <w:rPr>
                <w:rFonts w:ascii="宋体" w:hAnsi="宋体"/>
                <w:szCs w:val="21"/>
              </w:rPr>
              <w:t xml:space="preserve">GY/T 19-1984 </w:t>
            </w:r>
          </w:p>
        </w:tc>
        <w:tc>
          <w:tcPr>
            <w:tcW w:w="3385" w:type="dxa"/>
            <w:tcBorders>
              <w:top w:val="nil"/>
              <w:left w:val="nil"/>
              <w:bottom w:val="single" w:color="auto" w:sz="4" w:space="0"/>
              <w:right w:val="single" w:color="auto" w:sz="4" w:space="0"/>
            </w:tcBorders>
            <w:vAlign w:val="center"/>
          </w:tcPr>
          <w:p>
            <w:pPr>
              <w:widowControl/>
              <w:jc w:val="left"/>
              <w:rPr>
                <w:rFonts w:ascii="宋体"/>
                <w:szCs w:val="21"/>
              </w:rPr>
            </w:pPr>
            <w:r>
              <w:rPr>
                <w:rFonts w:hint="eastAsia" w:ascii="宋体" w:hAnsi="宋体"/>
                <w:szCs w:val="21"/>
              </w:rPr>
              <w:t>农村有线广播技术管理规程</w:t>
            </w:r>
          </w:p>
        </w:tc>
        <w:tc>
          <w:tcPr>
            <w:tcW w:w="4859" w:type="dxa"/>
            <w:tcBorders>
              <w:top w:val="nil"/>
              <w:left w:val="nil"/>
              <w:bottom w:val="single" w:color="auto" w:sz="4" w:space="0"/>
              <w:right w:val="single" w:color="auto" w:sz="4" w:space="0"/>
            </w:tcBorders>
            <w:vAlign w:val="center"/>
          </w:tcPr>
          <w:p>
            <w:pPr>
              <w:widowControl/>
              <w:jc w:val="left"/>
              <w:rPr>
                <w:rFonts w:ascii="宋体"/>
                <w:szCs w:val="21"/>
              </w:rPr>
            </w:pPr>
            <w:r>
              <w:rPr>
                <w:rFonts w:hint="eastAsia" w:ascii="宋体" w:hAnsi="宋体"/>
                <w:szCs w:val="21"/>
              </w:rPr>
              <w:t>其内容包括管理的基本原则、主要内容和管理职责。</w:t>
            </w:r>
          </w:p>
        </w:tc>
        <w:tc>
          <w:tcPr>
            <w:tcW w:w="2685" w:type="dxa"/>
            <w:tcBorders>
              <w:top w:val="nil"/>
              <w:left w:val="nil"/>
              <w:bottom w:val="single" w:color="auto" w:sz="4" w:space="0"/>
              <w:right w:val="single" w:color="auto" w:sz="4" w:space="0"/>
            </w:tcBorders>
            <w:vAlign w:val="center"/>
          </w:tcPr>
          <w:p>
            <w:r>
              <w:rPr>
                <w:rFonts w:hint="eastAsia" w:ascii="宋体" w:hAnsi="宋体" w:cs="宋体"/>
                <w:bCs/>
                <w:szCs w:val="21"/>
              </w:rPr>
              <w:t>技术过时落后</w:t>
            </w:r>
          </w:p>
        </w:tc>
      </w:tr>
      <w:tr>
        <w:tblPrEx>
          <w:tblLayout w:type="fixed"/>
          <w:tblCellMar>
            <w:top w:w="0" w:type="dxa"/>
            <w:left w:w="108" w:type="dxa"/>
            <w:bottom w:w="0" w:type="dxa"/>
            <w:right w:w="108" w:type="dxa"/>
          </w:tblCellMar>
        </w:tblPrEx>
        <w:trPr>
          <w:cantSplit/>
          <w:trHeight w:val="20" w:hRule="atLeast"/>
        </w:trPr>
        <w:tc>
          <w:tcPr>
            <w:tcW w:w="698" w:type="dxa"/>
            <w:tcBorders>
              <w:top w:val="nil"/>
              <w:left w:val="single" w:color="auto" w:sz="4" w:space="0"/>
              <w:bottom w:val="single" w:color="auto" w:sz="4" w:space="0"/>
              <w:right w:val="single" w:color="auto" w:sz="4" w:space="0"/>
            </w:tcBorders>
            <w:vAlign w:val="center"/>
          </w:tcPr>
          <w:p>
            <w:pPr>
              <w:widowControl/>
              <w:jc w:val="center"/>
              <w:rPr>
                <w:rFonts w:ascii="宋体" w:hAnsi="宋体"/>
                <w:szCs w:val="21"/>
              </w:rPr>
            </w:pPr>
            <w:r>
              <w:rPr>
                <w:rFonts w:ascii="宋体" w:hAnsi="宋体"/>
                <w:szCs w:val="21"/>
              </w:rPr>
              <w:t>12</w:t>
            </w:r>
          </w:p>
        </w:tc>
        <w:tc>
          <w:tcPr>
            <w:tcW w:w="2547" w:type="dxa"/>
            <w:tcBorders>
              <w:top w:val="nil"/>
              <w:left w:val="nil"/>
              <w:bottom w:val="single" w:color="auto" w:sz="4" w:space="0"/>
              <w:right w:val="single" w:color="auto" w:sz="4" w:space="0"/>
            </w:tcBorders>
            <w:vAlign w:val="center"/>
          </w:tcPr>
          <w:p>
            <w:pPr>
              <w:widowControl/>
              <w:jc w:val="left"/>
              <w:rPr>
                <w:rFonts w:ascii="宋体" w:hAnsi="宋体"/>
                <w:szCs w:val="21"/>
              </w:rPr>
            </w:pPr>
            <w:r>
              <w:rPr>
                <w:rFonts w:ascii="宋体" w:hAnsi="宋体"/>
                <w:szCs w:val="21"/>
              </w:rPr>
              <w:t xml:space="preserve">GY/T 38-1986 </w:t>
            </w:r>
          </w:p>
        </w:tc>
        <w:tc>
          <w:tcPr>
            <w:tcW w:w="3385" w:type="dxa"/>
            <w:tcBorders>
              <w:top w:val="nil"/>
              <w:left w:val="nil"/>
              <w:bottom w:val="single" w:color="auto" w:sz="4" w:space="0"/>
              <w:right w:val="single" w:color="auto" w:sz="4" w:space="0"/>
            </w:tcBorders>
            <w:vAlign w:val="center"/>
          </w:tcPr>
          <w:p>
            <w:pPr>
              <w:widowControl/>
              <w:jc w:val="left"/>
              <w:rPr>
                <w:rFonts w:ascii="宋体"/>
                <w:szCs w:val="21"/>
              </w:rPr>
            </w:pPr>
            <w:r>
              <w:rPr>
                <w:rFonts w:hint="eastAsia" w:ascii="宋体" w:hAnsi="宋体"/>
                <w:szCs w:val="21"/>
              </w:rPr>
              <w:t>电视节目短程光缆传输系统技术要求</w:t>
            </w:r>
          </w:p>
        </w:tc>
        <w:tc>
          <w:tcPr>
            <w:tcW w:w="4859" w:type="dxa"/>
            <w:tcBorders>
              <w:top w:val="nil"/>
              <w:left w:val="nil"/>
              <w:bottom w:val="single" w:color="auto" w:sz="4" w:space="0"/>
              <w:right w:val="single" w:color="auto" w:sz="4" w:space="0"/>
            </w:tcBorders>
            <w:vAlign w:val="center"/>
          </w:tcPr>
          <w:p>
            <w:pPr>
              <w:widowControl/>
              <w:jc w:val="left"/>
              <w:rPr>
                <w:rFonts w:ascii="宋体"/>
                <w:szCs w:val="21"/>
              </w:rPr>
            </w:pPr>
            <w:r>
              <w:rPr>
                <w:rFonts w:hint="eastAsia" w:ascii="宋体" w:hAnsi="宋体"/>
                <w:szCs w:val="21"/>
              </w:rPr>
              <w:t>规定了利用短程光缆传输电视节目的系统结构与设备功能，以及视频和伴音技术指标要求。</w:t>
            </w:r>
          </w:p>
        </w:tc>
        <w:tc>
          <w:tcPr>
            <w:tcW w:w="2685" w:type="dxa"/>
            <w:tcBorders>
              <w:top w:val="nil"/>
              <w:left w:val="nil"/>
              <w:bottom w:val="single" w:color="auto" w:sz="4" w:space="0"/>
              <w:right w:val="single" w:color="auto" w:sz="4" w:space="0"/>
            </w:tcBorders>
            <w:vAlign w:val="center"/>
          </w:tcPr>
          <w:p>
            <w:r>
              <w:rPr>
                <w:rFonts w:hint="eastAsia" w:ascii="宋体" w:hAnsi="宋体" w:cs="宋体"/>
                <w:bCs/>
                <w:szCs w:val="21"/>
              </w:rPr>
              <w:t>技术过时落后</w:t>
            </w:r>
          </w:p>
        </w:tc>
      </w:tr>
      <w:tr>
        <w:tblPrEx>
          <w:tblLayout w:type="fixed"/>
          <w:tblCellMar>
            <w:top w:w="0" w:type="dxa"/>
            <w:left w:w="108" w:type="dxa"/>
            <w:bottom w:w="0" w:type="dxa"/>
            <w:right w:w="108" w:type="dxa"/>
          </w:tblCellMar>
        </w:tblPrEx>
        <w:trPr>
          <w:cantSplit/>
          <w:trHeight w:val="20" w:hRule="atLeast"/>
        </w:trPr>
        <w:tc>
          <w:tcPr>
            <w:tcW w:w="698" w:type="dxa"/>
            <w:tcBorders>
              <w:top w:val="nil"/>
              <w:left w:val="single" w:color="auto" w:sz="4" w:space="0"/>
              <w:bottom w:val="single" w:color="auto" w:sz="4" w:space="0"/>
              <w:right w:val="single" w:color="auto" w:sz="4" w:space="0"/>
            </w:tcBorders>
            <w:vAlign w:val="center"/>
          </w:tcPr>
          <w:p>
            <w:pPr>
              <w:widowControl/>
              <w:jc w:val="center"/>
              <w:rPr>
                <w:rFonts w:ascii="宋体" w:hAnsi="宋体"/>
                <w:szCs w:val="21"/>
              </w:rPr>
            </w:pPr>
            <w:r>
              <w:rPr>
                <w:rFonts w:ascii="宋体" w:hAnsi="宋体"/>
                <w:szCs w:val="21"/>
              </w:rPr>
              <w:t>13</w:t>
            </w:r>
          </w:p>
        </w:tc>
        <w:tc>
          <w:tcPr>
            <w:tcW w:w="2547" w:type="dxa"/>
            <w:tcBorders>
              <w:top w:val="nil"/>
              <w:left w:val="nil"/>
              <w:bottom w:val="single" w:color="auto" w:sz="4" w:space="0"/>
              <w:right w:val="single" w:color="auto" w:sz="4" w:space="0"/>
            </w:tcBorders>
            <w:vAlign w:val="center"/>
          </w:tcPr>
          <w:p>
            <w:pPr>
              <w:widowControl/>
              <w:jc w:val="left"/>
              <w:rPr>
                <w:rFonts w:ascii="宋体" w:hAnsi="宋体"/>
                <w:szCs w:val="21"/>
              </w:rPr>
            </w:pPr>
            <w:r>
              <w:rPr>
                <w:rFonts w:ascii="宋体" w:hAnsi="宋体"/>
                <w:szCs w:val="21"/>
              </w:rPr>
              <w:t xml:space="preserve">GY/T 81-1989 </w:t>
            </w:r>
          </w:p>
        </w:tc>
        <w:tc>
          <w:tcPr>
            <w:tcW w:w="3385" w:type="dxa"/>
            <w:tcBorders>
              <w:top w:val="nil"/>
              <w:left w:val="nil"/>
              <w:bottom w:val="single" w:color="auto" w:sz="4" w:space="0"/>
              <w:right w:val="single" w:color="auto" w:sz="4" w:space="0"/>
            </w:tcBorders>
            <w:vAlign w:val="center"/>
          </w:tcPr>
          <w:p>
            <w:pPr>
              <w:widowControl/>
              <w:jc w:val="left"/>
              <w:rPr>
                <w:rFonts w:ascii="宋体"/>
                <w:szCs w:val="21"/>
              </w:rPr>
            </w:pPr>
            <w:r>
              <w:rPr>
                <w:rFonts w:hint="eastAsia" w:ascii="宋体" w:hAnsi="宋体"/>
                <w:szCs w:val="21"/>
              </w:rPr>
              <w:t>农村有线广播线路传输质量指标测量方法</w:t>
            </w:r>
          </w:p>
        </w:tc>
        <w:tc>
          <w:tcPr>
            <w:tcW w:w="4859" w:type="dxa"/>
            <w:tcBorders>
              <w:top w:val="nil"/>
              <w:left w:val="nil"/>
              <w:bottom w:val="single" w:color="auto" w:sz="4" w:space="0"/>
              <w:right w:val="single" w:color="auto" w:sz="4" w:space="0"/>
            </w:tcBorders>
            <w:vAlign w:val="center"/>
          </w:tcPr>
          <w:p>
            <w:pPr>
              <w:widowControl/>
              <w:jc w:val="left"/>
              <w:rPr>
                <w:rFonts w:ascii="宋体"/>
                <w:szCs w:val="21"/>
              </w:rPr>
            </w:pPr>
            <w:r>
              <w:rPr>
                <w:rFonts w:hint="eastAsia" w:ascii="宋体" w:hAnsi="宋体"/>
                <w:szCs w:val="21"/>
              </w:rPr>
              <w:t>规定了架空明线传输质量指标的测量方法。</w:t>
            </w:r>
          </w:p>
        </w:tc>
        <w:tc>
          <w:tcPr>
            <w:tcW w:w="2685" w:type="dxa"/>
            <w:tcBorders>
              <w:top w:val="nil"/>
              <w:left w:val="nil"/>
              <w:bottom w:val="single" w:color="auto" w:sz="4" w:space="0"/>
              <w:right w:val="single" w:color="auto" w:sz="4" w:space="0"/>
            </w:tcBorders>
            <w:vAlign w:val="center"/>
          </w:tcPr>
          <w:p>
            <w:r>
              <w:rPr>
                <w:rFonts w:hint="eastAsia" w:ascii="宋体" w:hAnsi="宋体" w:cs="宋体"/>
                <w:bCs/>
                <w:szCs w:val="21"/>
              </w:rPr>
              <w:t>技术过时落后</w:t>
            </w:r>
          </w:p>
        </w:tc>
      </w:tr>
      <w:tr>
        <w:tblPrEx>
          <w:tblLayout w:type="fixed"/>
          <w:tblCellMar>
            <w:top w:w="0" w:type="dxa"/>
            <w:left w:w="108" w:type="dxa"/>
            <w:bottom w:w="0" w:type="dxa"/>
            <w:right w:w="108" w:type="dxa"/>
          </w:tblCellMar>
        </w:tblPrEx>
        <w:trPr>
          <w:cantSplit/>
          <w:trHeight w:val="20" w:hRule="atLeast"/>
        </w:trPr>
        <w:tc>
          <w:tcPr>
            <w:tcW w:w="698" w:type="dxa"/>
            <w:tcBorders>
              <w:top w:val="nil"/>
              <w:left w:val="single" w:color="auto" w:sz="4" w:space="0"/>
              <w:bottom w:val="single" w:color="auto" w:sz="4" w:space="0"/>
              <w:right w:val="single" w:color="auto" w:sz="4" w:space="0"/>
            </w:tcBorders>
            <w:vAlign w:val="center"/>
          </w:tcPr>
          <w:p>
            <w:pPr>
              <w:widowControl/>
              <w:jc w:val="center"/>
              <w:rPr>
                <w:rFonts w:ascii="宋体" w:hAnsi="宋体"/>
                <w:szCs w:val="21"/>
              </w:rPr>
            </w:pPr>
            <w:r>
              <w:rPr>
                <w:rFonts w:ascii="宋体" w:hAnsi="宋体"/>
                <w:szCs w:val="21"/>
              </w:rPr>
              <w:t>14</w:t>
            </w:r>
          </w:p>
        </w:tc>
        <w:tc>
          <w:tcPr>
            <w:tcW w:w="2547" w:type="dxa"/>
            <w:tcBorders>
              <w:top w:val="nil"/>
              <w:left w:val="nil"/>
              <w:bottom w:val="single" w:color="auto" w:sz="4" w:space="0"/>
              <w:right w:val="single" w:color="auto" w:sz="4" w:space="0"/>
            </w:tcBorders>
            <w:vAlign w:val="center"/>
          </w:tcPr>
          <w:p>
            <w:pPr>
              <w:widowControl/>
              <w:jc w:val="left"/>
              <w:rPr>
                <w:rFonts w:ascii="宋体" w:hAnsi="宋体"/>
                <w:szCs w:val="21"/>
              </w:rPr>
            </w:pPr>
            <w:r>
              <w:rPr>
                <w:rFonts w:ascii="宋体" w:hAnsi="宋体"/>
                <w:szCs w:val="21"/>
              </w:rPr>
              <w:t xml:space="preserve">GY/T l18-1995 </w:t>
            </w:r>
          </w:p>
        </w:tc>
        <w:tc>
          <w:tcPr>
            <w:tcW w:w="3385" w:type="dxa"/>
            <w:tcBorders>
              <w:top w:val="nil"/>
              <w:left w:val="nil"/>
              <w:bottom w:val="single" w:color="auto" w:sz="4" w:space="0"/>
              <w:right w:val="single" w:color="auto" w:sz="4" w:space="0"/>
            </w:tcBorders>
            <w:vAlign w:val="center"/>
          </w:tcPr>
          <w:p>
            <w:pPr>
              <w:widowControl/>
              <w:jc w:val="left"/>
              <w:rPr>
                <w:rFonts w:ascii="宋体"/>
                <w:szCs w:val="21"/>
              </w:rPr>
            </w:pPr>
            <w:r>
              <w:rPr>
                <w:rFonts w:hint="eastAsia" w:ascii="宋体" w:hAnsi="宋体"/>
                <w:szCs w:val="21"/>
              </w:rPr>
              <w:t>有线电视与有线广播共缆传输系统技术要求</w:t>
            </w:r>
          </w:p>
        </w:tc>
        <w:tc>
          <w:tcPr>
            <w:tcW w:w="4859" w:type="dxa"/>
            <w:tcBorders>
              <w:top w:val="nil"/>
              <w:left w:val="nil"/>
              <w:bottom w:val="single" w:color="auto" w:sz="4" w:space="0"/>
              <w:right w:val="single" w:color="auto" w:sz="4" w:space="0"/>
            </w:tcBorders>
            <w:vAlign w:val="center"/>
          </w:tcPr>
          <w:p>
            <w:pPr>
              <w:widowControl/>
              <w:jc w:val="left"/>
              <w:rPr>
                <w:rFonts w:ascii="宋体"/>
                <w:szCs w:val="21"/>
              </w:rPr>
            </w:pPr>
            <w:r>
              <w:rPr>
                <w:rFonts w:hint="eastAsia" w:ascii="宋体" w:hAnsi="宋体"/>
                <w:szCs w:val="21"/>
              </w:rPr>
              <w:t>规定了有线电视与有线广播共缆传输系统的术语、传输方式、技术参数、测量方法、验收规则及系统时部件的技术要求。</w:t>
            </w:r>
          </w:p>
        </w:tc>
        <w:tc>
          <w:tcPr>
            <w:tcW w:w="2685" w:type="dxa"/>
            <w:tcBorders>
              <w:top w:val="nil"/>
              <w:left w:val="nil"/>
              <w:bottom w:val="single" w:color="auto" w:sz="4" w:space="0"/>
              <w:right w:val="single" w:color="auto" w:sz="4" w:space="0"/>
            </w:tcBorders>
            <w:vAlign w:val="center"/>
          </w:tcPr>
          <w:p>
            <w:r>
              <w:rPr>
                <w:rFonts w:hint="eastAsia" w:ascii="宋体" w:hAnsi="宋体" w:cs="宋体"/>
                <w:bCs/>
                <w:szCs w:val="21"/>
              </w:rPr>
              <w:t>技术过时落后</w:t>
            </w:r>
          </w:p>
        </w:tc>
      </w:tr>
      <w:tr>
        <w:tblPrEx>
          <w:tblLayout w:type="fixed"/>
          <w:tblCellMar>
            <w:top w:w="0" w:type="dxa"/>
            <w:left w:w="108" w:type="dxa"/>
            <w:bottom w:w="0" w:type="dxa"/>
            <w:right w:w="108" w:type="dxa"/>
          </w:tblCellMar>
        </w:tblPrEx>
        <w:trPr>
          <w:cantSplit/>
          <w:trHeight w:val="20" w:hRule="atLeast"/>
        </w:trPr>
        <w:tc>
          <w:tcPr>
            <w:tcW w:w="698" w:type="dxa"/>
            <w:tcBorders>
              <w:top w:val="nil"/>
              <w:left w:val="single" w:color="auto" w:sz="4" w:space="0"/>
              <w:bottom w:val="single" w:color="auto" w:sz="4" w:space="0"/>
              <w:right w:val="single" w:color="auto" w:sz="4" w:space="0"/>
            </w:tcBorders>
            <w:vAlign w:val="center"/>
          </w:tcPr>
          <w:p>
            <w:pPr>
              <w:widowControl/>
              <w:jc w:val="center"/>
              <w:rPr>
                <w:rFonts w:ascii="宋体" w:hAnsi="宋体"/>
                <w:szCs w:val="21"/>
              </w:rPr>
            </w:pPr>
            <w:r>
              <w:rPr>
                <w:rFonts w:ascii="宋体" w:hAnsi="宋体"/>
                <w:szCs w:val="21"/>
              </w:rPr>
              <w:t>15</w:t>
            </w:r>
          </w:p>
        </w:tc>
        <w:tc>
          <w:tcPr>
            <w:tcW w:w="2547" w:type="dxa"/>
            <w:tcBorders>
              <w:top w:val="nil"/>
              <w:left w:val="nil"/>
              <w:bottom w:val="single" w:color="auto" w:sz="4" w:space="0"/>
              <w:right w:val="single" w:color="auto" w:sz="4" w:space="0"/>
            </w:tcBorders>
            <w:vAlign w:val="center"/>
          </w:tcPr>
          <w:p>
            <w:pPr>
              <w:widowControl/>
              <w:jc w:val="left"/>
              <w:rPr>
                <w:rFonts w:ascii="宋体" w:hAnsi="宋体"/>
                <w:szCs w:val="21"/>
              </w:rPr>
            </w:pPr>
            <w:r>
              <w:rPr>
                <w:rFonts w:ascii="宋体" w:hAnsi="宋体"/>
                <w:szCs w:val="21"/>
              </w:rPr>
              <w:t>GY/T 131-1997</w:t>
            </w:r>
          </w:p>
        </w:tc>
        <w:tc>
          <w:tcPr>
            <w:tcW w:w="3385" w:type="dxa"/>
            <w:tcBorders>
              <w:top w:val="nil"/>
              <w:left w:val="nil"/>
              <w:bottom w:val="single" w:color="auto" w:sz="4" w:space="0"/>
              <w:right w:val="single" w:color="auto" w:sz="4" w:space="0"/>
            </w:tcBorders>
            <w:vAlign w:val="center"/>
          </w:tcPr>
          <w:p>
            <w:pPr>
              <w:widowControl/>
              <w:jc w:val="left"/>
              <w:rPr>
                <w:rFonts w:ascii="宋体"/>
                <w:szCs w:val="21"/>
              </w:rPr>
            </w:pPr>
            <w:r>
              <w:rPr>
                <w:rFonts w:hint="eastAsia" w:ascii="宋体" w:hAnsi="宋体"/>
                <w:szCs w:val="21"/>
              </w:rPr>
              <w:t>有线电视网中光链路系统技术要求和测量方法</w:t>
            </w:r>
          </w:p>
        </w:tc>
        <w:tc>
          <w:tcPr>
            <w:tcW w:w="4859" w:type="dxa"/>
            <w:tcBorders>
              <w:top w:val="nil"/>
              <w:left w:val="nil"/>
              <w:bottom w:val="single" w:color="auto" w:sz="4" w:space="0"/>
              <w:right w:val="single" w:color="auto" w:sz="4" w:space="0"/>
            </w:tcBorders>
            <w:vAlign w:val="center"/>
          </w:tcPr>
          <w:p>
            <w:pPr>
              <w:widowControl/>
              <w:jc w:val="left"/>
              <w:rPr>
                <w:rFonts w:ascii="宋体"/>
                <w:szCs w:val="21"/>
              </w:rPr>
            </w:pPr>
            <w:r>
              <w:rPr>
                <w:rFonts w:hint="eastAsia" w:ascii="宋体" w:hAnsi="宋体"/>
                <w:szCs w:val="21"/>
              </w:rPr>
              <w:t>规定了光纤</w:t>
            </w:r>
            <w:r>
              <w:rPr>
                <w:rFonts w:ascii="宋体" w:hAnsi="宋体"/>
                <w:szCs w:val="21"/>
              </w:rPr>
              <w:t>/</w:t>
            </w:r>
            <w:r>
              <w:rPr>
                <w:rFonts w:hint="eastAsia" w:ascii="宋体" w:hAnsi="宋体"/>
                <w:szCs w:val="21"/>
              </w:rPr>
              <w:t>同轴电缆混合有线电视网中光链路系统的技术要求、设计原则和测量方法。</w:t>
            </w:r>
          </w:p>
        </w:tc>
        <w:tc>
          <w:tcPr>
            <w:tcW w:w="2685" w:type="dxa"/>
            <w:tcBorders>
              <w:top w:val="nil"/>
              <w:left w:val="nil"/>
              <w:bottom w:val="single" w:color="auto" w:sz="4" w:space="0"/>
              <w:right w:val="single" w:color="auto" w:sz="4" w:space="0"/>
            </w:tcBorders>
            <w:vAlign w:val="center"/>
          </w:tcPr>
          <w:p>
            <w:r>
              <w:rPr>
                <w:rFonts w:hint="eastAsia" w:ascii="宋体" w:hAnsi="宋体" w:cs="宋体"/>
                <w:bCs/>
                <w:szCs w:val="21"/>
              </w:rPr>
              <w:t>技术过时落后</w:t>
            </w:r>
          </w:p>
        </w:tc>
      </w:tr>
      <w:tr>
        <w:tblPrEx>
          <w:tblLayout w:type="fixed"/>
          <w:tblCellMar>
            <w:top w:w="0" w:type="dxa"/>
            <w:left w:w="108" w:type="dxa"/>
            <w:bottom w:w="0" w:type="dxa"/>
            <w:right w:w="108" w:type="dxa"/>
          </w:tblCellMar>
        </w:tblPrEx>
        <w:trPr>
          <w:cantSplit/>
          <w:trHeight w:val="20" w:hRule="atLeast"/>
        </w:trPr>
        <w:tc>
          <w:tcPr>
            <w:tcW w:w="698" w:type="dxa"/>
            <w:tcBorders>
              <w:top w:val="nil"/>
              <w:left w:val="single" w:color="auto" w:sz="4" w:space="0"/>
              <w:bottom w:val="single" w:color="auto" w:sz="4" w:space="0"/>
              <w:right w:val="single" w:color="auto" w:sz="4" w:space="0"/>
            </w:tcBorders>
            <w:vAlign w:val="center"/>
          </w:tcPr>
          <w:p>
            <w:pPr>
              <w:widowControl/>
              <w:jc w:val="center"/>
              <w:rPr>
                <w:rFonts w:ascii="宋体" w:hAnsi="宋体"/>
                <w:szCs w:val="21"/>
              </w:rPr>
            </w:pPr>
            <w:r>
              <w:rPr>
                <w:rFonts w:ascii="宋体" w:hAnsi="宋体"/>
                <w:szCs w:val="21"/>
              </w:rPr>
              <w:t>16</w:t>
            </w:r>
          </w:p>
        </w:tc>
        <w:tc>
          <w:tcPr>
            <w:tcW w:w="2547" w:type="dxa"/>
            <w:tcBorders>
              <w:top w:val="nil"/>
              <w:left w:val="nil"/>
              <w:bottom w:val="single" w:color="auto" w:sz="4" w:space="0"/>
              <w:right w:val="single" w:color="auto" w:sz="4" w:space="0"/>
            </w:tcBorders>
            <w:vAlign w:val="center"/>
          </w:tcPr>
          <w:p>
            <w:pPr>
              <w:widowControl/>
              <w:jc w:val="left"/>
              <w:rPr>
                <w:rFonts w:ascii="宋体" w:hAnsi="宋体"/>
                <w:szCs w:val="21"/>
              </w:rPr>
            </w:pPr>
            <w:r>
              <w:rPr>
                <w:rFonts w:ascii="宋体" w:hAnsi="宋体"/>
                <w:szCs w:val="21"/>
              </w:rPr>
              <w:t xml:space="preserve">GY/T 136-1998 </w:t>
            </w:r>
          </w:p>
        </w:tc>
        <w:tc>
          <w:tcPr>
            <w:tcW w:w="3385" w:type="dxa"/>
            <w:tcBorders>
              <w:top w:val="nil"/>
              <w:left w:val="nil"/>
              <w:bottom w:val="single" w:color="auto" w:sz="4" w:space="0"/>
              <w:right w:val="single" w:color="auto" w:sz="4" w:space="0"/>
            </w:tcBorders>
            <w:vAlign w:val="center"/>
          </w:tcPr>
          <w:p>
            <w:pPr>
              <w:widowControl/>
              <w:jc w:val="left"/>
              <w:rPr>
                <w:rFonts w:ascii="宋体"/>
                <w:szCs w:val="21"/>
              </w:rPr>
            </w:pPr>
            <w:r>
              <w:rPr>
                <w:rFonts w:hint="eastAsia" w:ascii="宋体" w:hAnsi="宋体"/>
                <w:szCs w:val="21"/>
              </w:rPr>
              <w:t>有线电视系统竹节式聚乙烯绝缘同轴电缆入网技术条件和测量方法</w:t>
            </w:r>
          </w:p>
        </w:tc>
        <w:tc>
          <w:tcPr>
            <w:tcW w:w="4859" w:type="dxa"/>
            <w:tcBorders>
              <w:top w:val="nil"/>
              <w:left w:val="nil"/>
              <w:bottom w:val="single" w:color="auto" w:sz="4" w:space="0"/>
              <w:right w:val="single" w:color="auto" w:sz="4" w:space="0"/>
            </w:tcBorders>
            <w:vAlign w:val="center"/>
          </w:tcPr>
          <w:p>
            <w:pPr>
              <w:widowControl/>
              <w:jc w:val="left"/>
              <w:rPr>
                <w:rFonts w:ascii="宋体"/>
                <w:szCs w:val="21"/>
              </w:rPr>
            </w:pPr>
            <w:r>
              <w:rPr>
                <w:rFonts w:hint="eastAsia" w:ascii="宋体" w:hAnsi="宋体"/>
                <w:szCs w:val="21"/>
              </w:rPr>
              <w:t>规定了</w:t>
            </w:r>
            <w:r>
              <w:rPr>
                <w:rFonts w:ascii="宋体" w:hAnsi="宋体"/>
                <w:szCs w:val="21"/>
              </w:rPr>
              <w:t>SYDLY-75-9</w:t>
            </w:r>
            <w:r>
              <w:rPr>
                <w:rFonts w:hint="eastAsia" w:ascii="宋体" w:hAnsi="宋体"/>
                <w:szCs w:val="21"/>
              </w:rPr>
              <w:t>、</w:t>
            </w:r>
            <w:r>
              <w:rPr>
                <w:rFonts w:ascii="宋体" w:hAnsi="宋体"/>
                <w:szCs w:val="21"/>
              </w:rPr>
              <w:t>SYDLY-75-12</w:t>
            </w:r>
            <w:r>
              <w:rPr>
                <w:rFonts w:hint="eastAsia" w:ascii="宋体" w:hAnsi="宋体"/>
                <w:szCs w:val="21"/>
              </w:rPr>
              <w:t>、</w:t>
            </w:r>
            <w:r>
              <w:rPr>
                <w:rFonts w:ascii="宋体" w:hAnsi="宋体"/>
                <w:szCs w:val="21"/>
              </w:rPr>
              <w:t>SYDLY-75-14</w:t>
            </w:r>
            <w:r>
              <w:rPr>
                <w:rFonts w:hint="eastAsia" w:ascii="宋体" w:hAnsi="宋体"/>
                <w:szCs w:val="21"/>
              </w:rPr>
              <w:t>和</w:t>
            </w:r>
            <w:r>
              <w:rPr>
                <w:rFonts w:ascii="宋体" w:hAnsi="宋体"/>
                <w:szCs w:val="21"/>
              </w:rPr>
              <w:t>SYDLY-75-11</w:t>
            </w:r>
            <w:r>
              <w:rPr>
                <w:rFonts w:hint="eastAsia" w:ascii="宋体" w:hAnsi="宋体"/>
                <w:szCs w:val="21"/>
              </w:rPr>
              <w:t>、</w:t>
            </w:r>
            <w:r>
              <w:rPr>
                <w:rFonts w:ascii="宋体" w:hAnsi="宋体"/>
                <w:szCs w:val="21"/>
              </w:rPr>
              <w:t>SYDLY-75-12A</w:t>
            </w:r>
            <w:r>
              <w:rPr>
                <w:rFonts w:hint="eastAsia" w:ascii="宋体" w:hAnsi="宋体"/>
                <w:szCs w:val="21"/>
              </w:rPr>
              <w:t>型有线电视系统用竹节式聚乙烯绝缘同轴电缆的技术要求、试验方法等。</w:t>
            </w:r>
          </w:p>
        </w:tc>
        <w:tc>
          <w:tcPr>
            <w:tcW w:w="2685" w:type="dxa"/>
            <w:tcBorders>
              <w:top w:val="nil"/>
              <w:left w:val="nil"/>
              <w:bottom w:val="single" w:color="auto" w:sz="4" w:space="0"/>
              <w:right w:val="single" w:color="auto" w:sz="4" w:space="0"/>
            </w:tcBorders>
            <w:vAlign w:val="center"/>
          </w:tcPr>
          <w:p>
            <w:r>
              <w:rPr>
                <w:rFonts w:hint="eastAsia" w:ascii="宋体" w:hAnsi="宋体" w:cs="宋体"/>
                <w:bCs/>
                <w:szCs w:val="21"/>
              </w:rPr>
              <w:t>技术过时落后</w:t>
            </w:r>
          </w:p>
        </w:tc>
      </w:tr>
      <w:tr>
        <w:tblPrEx>
          <w:tblLayout w:type="fixed"/>
          <w:tblCellMar>
            <w:top w:w="0" w:type="dxa"/>
            <w:left w:w="108" w:type="dxa"/>
            <w:bottom w:w="0" w:type="dxa"/>
            <w:right w:w="108" w:type="dxa"/>
          </w:tblCellMar>
        </w:tblPrEx>
        <w:trPr>
          <w:cantSplit/>
          <w:trHeight w:val="20" w:hRule="atLeast"/>
        </w:trPr>
        <w:tc>
          <w:tcPr>
            <w:tcW w:w="698" w:type="dxa"/>
            <w:tcBorders>
              <w:top w:val="nil"/>
              <w:left w:val="single" w:color="auto" w:sz="4" w:space="0"/>
              <w:bottom w:val="single" w:color="auto" w:sz="4" w:space="0"/>
              <w:right w:val="single" w:color="auto" w:sz="4" w:space="0"/>
            </w:tcBorders>
            <w:vAlign w:val="center"/>
          </w:tcPr>
          <w:p>
            <w:pPr>
              <w:widowControl/>
              <w:jc w:val="center"/>
              <w:rPr>
                <w:rFonts w:ascii="宋体" w:hAnsi="宋体"/>
                <w:szCs w:val="21"/>
              </w:rPr>
            </w:pPr>
            <w:r>
              <w:rPr>
                <w:rFonts w:ascii="宋体" w:hAnsi="宋体"/>
                <w:szCs w:val="21"/>
              </w:rPr>
              <w:t>17</w:t>
            </w:r>
          </w:p>
        </w:tc>
        <w:tc>
          <w:tcPr>
            <w:tcW w:w="2547" w:type="dxa"/>
            <w:tcBorders>
              <w:top w:val="nil"/>
              <w:left w:val="nil"/>
              <w:bottom w:val="single" w:color="auto" w:sz="4" w:space="0"/>
              <w:right w:val="single" w:color="auto" w:sz="4" w:space="0"/>
            </w:tcBorders>
            <w:vAlign w:val="center"/>
          </w:tcPr>
          <w:p>
            <w:pPr>
              <w:widowControl/>
              <w:jc w:val="left"/>
              <w:rPr>
                <w:rFonts w:ascii="宋体" w:hAnsi="宋体"/>
                <w:szCs w:val="21"/>
              </w:rPr>
            </w:pPr>
            <w:r>
              <w:rPr>
                <w:rFonts w:ascii="宋体" w:hAnsi="宋体"/>
                <w:szCs w:val="21"/>
              </w:rPr>
              <w:t xml:space="preserve">GY/T 141-1999 </w:t>
            </w:r>
          </w:p>
        </w:tc>
        <w:tc>
          <w:tcPr>
            <w:tcW w:w="3385" w:type="dxa"/>
            <w:tcBorders>
              <w:top w:val="nil"/>
              <w:left w:val="nil"/>
              <w:bottom w:val="single" w:color="auto" w:sz="4" w:space="0"/>
              <w:right w:val="single" w:color="auto" w:sz="4" w:space="0"/>
            </w:tcBorders>
            <w:vAlign w:val="center"/>
          </w:tcPr>
          <w:p>
            <w:pPr>
              <w:widowControl/>
              <w:jc w:val="left"/>
              <w:rPr>
                <w:rFonts w:ascii="宋体"/>
                <w:szCs w:val="21"/>
              </w:rPr>
            </w:pPr>
            <w:r>
              <w:rPr>
                <w:rFonts w:hint="eastAsia" w:ascii="宋体" w:hAnsi="宋体"/>
                <w:szCs w:val="21"/>
              </w:rPr>
              <w:t>有线电视模拟电视信号加解扰系统入网技术要求和测量方法</w:t>
            </w:r>
          </w:p>
        </w:tc>
        <w:tc>
          <w:tcPr>
            <w:tcW w:w="4859" w:type="dxa"/>
            <w:tcBorders>
              <w:top w:val="nil"/>
              <w:left w:val="nil"/>
              <w:bottom w:val="single" w:color="auto" w:sz="4" w:space="0"/>
              <w:right w:val="single" w:color="auto" w:sz="4" w:space="0"/>
            </w:tcBorders>
            <w:vAlign w:val="center"/>
          </w:tcPr>
          <w:p>
            <w:pPr>
              <w:widowControl/>
              <w:jc w:val="left"/>
              <w:rPr>
                <w:rFonts w:ascii="宋体"/>
                <w:szCs w:val="21"/>
              </w:rPr>
            </w:pPr>
            <w:r>
              <w:rPr>
                <w:rFonts w:hint="eastAsia" w:ascii="宋体" w:hAnsi="宋体"/>
                <w:szCs w:val="21"/>
              </w:rPr>
              <w:t>规定了有线电视模拟电视信号加解扰系统的技术要求和测量方法。</w:t>
            </w:r>
          </w:p>
        </w:tc>
        <w:tc>
          <w:tcPr>
            <w:tcW w:w="2685" w:type="dxa"/>
            <w:tcBorders>
              <w:top w:val="nil"/>
              <w:left w:val="nil"/>
              <w:bottom w:val="single" w:color="auto" w:sz="4" w:space="0"/>
              <w:right w:val="single" w:color="auto" w:sz="4" w:space="0"/>
            </w:tcBorders>
            <w:vAlign w:val="center"/>
          </w:tcPr>
          <w:p>
            <w:r>
              <w:rPr>
                <w:rFonts w:hint="eastAsia" w:ascii="宋体" w:hAnsi="宋体" w:cs="宋体"/>
                <w:bCs/>
                <w:szCs w:val="21"/>
              </w:rPr>
              <w:t>技术过时落后</w:t>
            </w:r>
          </w:p>
        </w:tc>
      </w:tr>
      <w:tr>
        <w:tblPrEx>
          <w:tblLayout w:type="fixed"/>
          <w:tblCellMar>
            <w:top w:w="0" w:type="dxa"/>
            <w:left w:w="108" w:type="dxa"/>
            <w:bottom w:w="0" w:type="dxa"/>
            <w:right w:w="108" w:type="dxa"/>
          </w:tblCellMar>
        </w:tblPrEx>
        <w:trPr>
          <w:cantSplit/>
          <w:trHeight w:val="20" w:hRule="atLeast"/>
        </w:trPr>
        <w:tc>
          <w:tcPr>
            <w:tcW w:w="698" w:type="dxa"/>
            <w:tcBorders>
              <w:top w:val="nil"/>
              <w:left w:val="single" w:color="auto" w:sz="4" w:space="0"/>
              <w:bottom w:val="single" w:color="auto" w:sz="4" w:space="0"/>
              <w:right w:val="single" w:color="auto" w:sz="4" w:space="0"/>
            </w:tcBorders>
            <w:vAlign w:val="center"/>
          </w:tcPr>
          <w:p>
            <w:pPr>
              <w:widowControl/>
              <w:jc w:val="center"/>
              <w:rPr>
                <w:rFonts w:ascii="宋体" w:hAnsi="宋体"/>
                <w:szCs w:val="21"/>
              </w:rPr>
            </w:pPr>
            <w:r>
              <w:rPr>
                <w:rFonts w:ascii="宋体" w:hAnsi="宋体"/>
                <w:szCs w:val="21"/>
              </w:rPr>
              <w:t>18</w:t>
            </w:r>
          </w:p>
        </w:tc>
        <w:tc>
          <w:tcPr>
            <w:tcW w:w="2547" w:type="dxa"/>
            <w:tcBorders>
              <w:top w:val="nil"/>
              <w:left w:val="nil"/>
              <w:bottom w:val="single" w:color="auto" w:sz="4" w:space="0"/>
              <w:right w:val="single" w:color="auto" w:sz="4" w:space="0"/>
            </w:tcBorders>
            <w:vAlign w:val="center"/>
          </w:tcPr>
          <w:p>
            <w:pPr>
              <w:widowControl/>
              <w:jc w:val="left"/>
              <w:rPr>
                <w:rFonts w:ascii="宋体" w:hAnsi="宋体"/>
                <w:szCs w:val="21"/>
              </w:rPr>
            </w:pPr>
            <w:r>
              <w:rPr>
                <w:rFonts w:ascii="宋体" w:hAnsi="宋体"/>
                <w:szCs w:val="21"/>
              </w:rPr>
              <w:t xml:space="preserve">GY/T 209-2005 </w:t>
            </w:r>
          </w:p>
        </w:tc>
        <w:tc>
          <w:tcPr>
            <w:tcW w:w="3385" w:type="dxa"/>
            <w:tcBorders>
              <w:top w:val="nil"/>
              <w:left w:val="nil"/>
              <w:bottom w:val="single" w:color="auto" w:sz="4" w:space="0"/>
              <w:right w:val="single" w:color="auto" w:sz="4" w:space="0"/>
            </w:tcBorders>
            <w:vAlign w:val="center"/>
          </w:tcPr>
          <w:p>
            <w:pPr>
              <w:widowControl/>
              <w:jc w:val="left"/>
              <w:rPr>
                <w:rFonts w:ascii="宋体"/>
                <w:szCs w:val="21"/>
              </w:rPr>
            </w:pPr>
            <w:r>
              <w:rPr>
                <w:rFonts w:hint="eastAsia" w:ascii="宋体" w:hAnsi="宋体"/>
                <w:szCs w:val="21"/>
              </w:rPr>
              <w:t>基于时分复用数字信道的宽带会议电视技术规范</w:t>
            </w:r>
          </w:p>
        </w:tc>
        <w:tc>
          <w:tcPr>
            <w:tcW w:w="4859" w:type="dxa"/>
            <w:tcBorders>
              <w:top w:val="nil"/>
              <w:left w:val="nil"/>
              <w:bottom w:val="single" w:color="auto" w:sz="4" w:space="0"/>
              <w:right w:val="single" w:color="auto" w:sz="4" w:space="0"/>
            </w:tcBorders>
            <w:vAlign w:val="center"/>
          </w:tcPr>
          <w:p>
            <w:pPr>
              <w:widowControl/>
              <w:jc w:val="left"/>
              <w:rPr>
                <w:rFonts w:ascii="宋体"/>
                <w:szCs w:val="21"/>
              </w:rPr>
            </w:pPr>
            <w:r>
              <w:rPr>
                <w:rFonts w:hint="eastAsia" w:ascii="宋体" w:hAnsi="宋体"/>
                <w:szCs w:val="21"/>
              </w:rPr>
              <w:t>规定了基于时分复用数字信道，采用</w:t>
            </w:r>
            <w:r>
              <w:rPr>
                <w:rFonts w:ascii="宋体" w:hAnsi="宋体"/>
                <w:szCs w:val="21"/>
              </w:rPr>
              <w:t>MPEG-2</w:t>
            </w:r>
            <w:r>
              <w:rPr>
                <w:rFonts w:hint="eastAsia" w:ascii="宋体" w:hAnsi="宋体"/>
                <w:szCs w:val="21"/>
              </w:rPr>
              <w:t>信源编码，通信速率为</w:t>
            </w:r>
            <w:r>
              <w:rPr>
                <w:rFonts w:ascii="宋体" w:hAnsi="宋体"/>
                <w:szCs w:val="21"/>
              </w:rPr>
              <w:t xml:space="preserve">2Mbit/s </w:t>
            </w:r>
            <w:r>
              <w:rPr>
                <w:rFonts w:hint="eastAsia" w:ascii="宋体" w:hAnsi="宋体"/>
                <w:szCs w:val="21"/>
              </w:rPr>
              <w:t>～</w:t>
            </w:r>
            <w:r>
              <w:rPr>
                <w:rFonts w:ascii="宋体" w:hAnsi="宋体"/>
                <w:szCs w:val="21"/>
              </w:rPr>
              <w:t xml:space="preserve"> 8Mbit/s</w:t>
            </w:r>
            <w:r>
              <w:rPr>
                <w:rFonts w:hint="eastAsia" w:ascii="宋体" w:hAnsi="宋体"/>
                <w:szCs w:val="21"/>
              </w:rPr>
              <w:t>的会议电视系统技术规范。</w:t>
            </w:r>
          </w:p>
        </w:tc>
        <w:tc>
          <w:tcPr>
            <w:tcW w:w="2685" w:type="dxa"/>
            <w:tcBorders>
              <w:top w:val="nil"/>
              <w:left w:val="nil"/>
              <w:bottom w:val="single" w:color="auto" w:sz="4" w:space="0"/>
              <w:right w:val="single" w:color="auto" w:sz="4" w:space="0"/>
            </w:tcBorders>
            <w:vAlign w:val="center"/>
          </w:tcPr>
          <w:p>
            <w:r>
              <w:rPr>
                <w:rFonts w:hint="eastAsia" w:ascii="宋体" w:hAnsi="宋体" w:cs="宋体"/>
                <w:bCs/>
                <w:szCs w:val="21"/>
              </w:rPr>
              <w:t>技术过时落后</w:t>
            </w:r>
          </w:p>
        </w:tc>
      </w:tr>
      <w:tr>
        <w:tblPrEx>
          <w:tblLayout w:type="fixed"/>
          <w:tblCellMar>
            <w:top w:w="0" w:type="dxa"/>
            <w:left w:w="108" w:type="dxa"/>
            <w:bottom w:w="0" w:type="dxa"/>
            <w:right w:w="108" w:type="dxa"/>
          </w:tblCellMar>
        </w:tblPrEx>
        <w:trPr>
          <w:cantSplit/>
          <w:trHeight w:val="973" w:hRule="atLeast"/>
        </w:trPr>
        <w:tc>
          <w:tcPr>
            <w:tcW w:w="698" w:type="dxa"/>
            <w:tcBorders>
              <w:top w:val="nil"/>
              <w:left w:val="single" w:color="auto" w:sz="4" w:space="0"/>
              <w:bottom w:val="single" w:color="auto" w:sz="4" w:space="0"/>
              <w:right w:val="single" w:color="auto" w:sz="4" w:space="0"/>
            </w:tcBorders>
            <w:vAlign w:val="center"/>
          </w:tcPr>
          <w:p>
            <w:pPr>
              <w:widowControl/>
              <w:jc w:val="center"/>
              <w:rPr>
                <w:rFonts w:ascii="宋体" w:hAnsi="宋体"/>
                <w:szCs w:val="21"/>
              </w:rPr>
            </w:pPr>
            <w:r>
              <w:rPr>
                <w:rFonts w:ascii="宋体" w:hAnsi="宋体"/>
                <w:szCs w:val="21"/>
              </w:rPr>
              <w:t>19</w:t>
            </w:r>
          </w:p>
        </w:tc>
        <w:tc>
          <w:tcPr>
            <w:tcW w:w="2547" w:type="dxa"/>
            <w:tcBorders>
              <w:top w:val="nil"/>
              <w:left w:val="nil"/>
              <w:bottom w:val="single" w:color="auto" w:sz="4" w:space="0"/>
              <w:right w:val="single" w:color="auto" w:sz="4" w:space="0"/>
            </w:tcBorders>
            <w:vAlign w:val="center"/>
          </w:tcPr>
          <w:p>
            <w:pPr>
              <w:widowControl/>
              <w:jc w:val="left"/>
              <w:rPr>
                <w:rFonts w:ascii="宋体" w:hAnsi="宋体"/>
                <w:szCs w:val="21"/>
              </w:rPr>
            </w:pPr>
            <w:r>
              <w:rPr>
                <w:rFonts w:ascii="宋体" w:hAnsi="宋体"/>
                <w:szCs w:val="21"/>
              </w:rPr>
              <w:t xml:space="preserve">GY/T 211-2005 </w:t>
            </w:r>
          </w:p>
        </w:tc>
        <w:tc>
          <w:tcPr>
            <w:tcW w:w="3385" w:type="dxa"/>
            <w:tcBorders>
              <w:top w:val="nil"/>
              <w:left w:val="nil"/>
              <w:bottom w:val="single" w:color="auto" w:sz="4" w:space="0"/>
              <w:right w:val="single" w:color="auto" w:sz="4" w:space="0"/>
            </w:tcBorders>
            <w:vAlign w:val="center"/>
          </w:tcPr>
          <w:p>
            <w:pPr>
              <w:widowControl/>
              <w:jc w:val="left"/>
              <w:rPr>
                <w:rFonts w:ascii="宋体"/>
                <w:szCs w:val="21"/>
              </w:rPr>
            </w:pPr>
            <w:r>
              <w:rPr>
                <w:rFonts w:hint="eastAsia" w:ascii="宋体" w:hAnsi="宋体"/>
                <w:szCs w:val="21"/>
              </w:rPr>
              <w:t>广播影视网络专有</w:t>
            </w:r>
            <w:r>
              <w:rPr>
                <w:rFonts w:ascii="宋体" w:hAnsi="宋体"/>
                <w:szCs w:val="21"/>
              </w:rPr>
              <w:t>IP</w:t>
            </w:r>
            <w:r>
              <w:rPr>
                <w:rFonts w:hint="eastAsia" w:ascii="宋体" w:hAnsi="宋体"/>
                <w:szCs w:val="21"/>
              </w:rPr>
              <w:t>地址规划</w:t>
            </w:r>
          </w:p>
        </w:tc>
        <w:tc>
          <w:tcPr>
            <w:tcW w:w="4859" w:type="dxa"/>
            <w:tcBorders>
              <w:top w:val="nil"/>
              <w:left w:val="nil"/>
              <w:bottom w:val="single" w:color="auto" w:sz="4" w:space="0"/>
              <w:right w:val="single" w:color="auto" w:sz="4" w:space="0"/>
            </w:tcBorders>
            <w:vAlign w:val="center"/>
          </w:tcPr>
          <w:p>
            <w:pPr>
              <w:widowControl/>
              <w:jc w:val="left"/>
              <w:rPr>
                <w:rFonts w:ascii="宋体"/>
                <w:szCs w:val="21"/>
              </w:rPr>
            </w:pPr>
            <w:r>
              <w:rPr>
                <w:rFonts w:hint="eastAsia" w:ascii="宋体" w:hAnsi="宋体"/>
                <w:szCs w:val="21"/>
              </w:rPr>
              <w:t>规定了广播影视专有</w:t>
            </w:r>
            <w:r>
              <w:rPr>
                <w:rFonts w:ascii="宋体" w:hAnsi="宋体"/>
                <w:szCs w:val="21"/>
              </w:rPr>
              <w:t>IP</w:t>
            </w:r>
            <w:r>
              <w:rPr>
                <w:rFonts w:hint="eastAsia" w:ascii="宋体" w:hAnsi="宋体"/>
                <w:szCs w:val="21"/>
              </w:rPr>
              <w:t>网络私有</w:t>
            </w:r>
            <w:r>
              <w:rPr>
                <w:rFonts w:ascii="宋体" w:hAnsi="宋体"/>
                <w:szCs w:val="21"/>
              </w:rPr>
              <w:t>IP</w:t>
            </w:r>
            <w:r>
              <w:rPr>
                <w:rFonts w:hint="eastAsia" w:ascii="宋体" w:hAnsi="宋体"/>
                <w:szCs w:val="21"/>
              </w:rPr>
              <w:t>地址的规划原则、规划方法和总体分配方案。</w:t>
            </w:r>
          </w:p>
        </w:tc>
        <w:tc>
          <w:tcPr>
            <w:tcW w:w="2685" w:type="dxa"/>
            <w:tcBorders>
              <w:top w:val="nil"/>
              <w:left w:val="nil"/>
              <w:bottom w:val="single" w:color="auto" w:sz="4" w:space="0"/>
              <w:right w:val="single" w:color="auto" w:sz="4" w:space="0"/>
            </w:tcBorders>
            <w:vAlign w:val="center"/>
          </w:tcPr>
          <w:p>
            <w:r>
              <w:rPr>
                <w:rFonts w:hint="eastAsia" w:ascii="宋体" w:hAnsi="宋体" w:cs="宋体"/>
                <w:bCs/>
                <w:szCs w:val="21"/>
              </w:rPr>
              <w:t>技术过时落后</w:t>
            </w:r>
          </w:p>
        </w:tc>
      </w:tr>
      <w:tr>
        <w:tblPrEx>
          <w:tblLayout w:type="fixed"/>
          <w:tblCellMar>
            <w:top w:w="0" w:type="dxa"/>
            <w:left w:w="108" w:type="dxa"/>
            <w:bottom w:w="0" w:type="dxa"/>
            <w:right w:w="108" w:type="dxa"/>
          </w:tblCellMar>
        </w:tblPrEx>
        <w:trPr>
          <w:cantSplit/>
          <w:trHeight w:val="523" w:hRule="atLeast"/>
        </w:trPr>
        <w:tc>
          <w:tcPr>
            <w:tcW w:w="698" w:type="dxa"/>
            <w:tcBorders>
              <w:top w:val="nil"/>
              <w:left w:val="single" w:color="auto" w:sz="4" w:space="0"/>
              <w:bottom w:val="single" w:color="auto" w:sz="4" w:space="0"/>
              <w:right w:val="single" w:color="auto" w:sz="4" w:space="0"/>
            </w:tcBorders>
            <w:vAlign w:val="center"/>
          </w:tcPr>
          <w:p>
            <w:pPr>
              <w:widowControl/>
              <w:jc w:val="center"/>
              <w:rPr>
                <w:rFonts w:ascii="宋体" w:hAnsi="宋体"/>
                <w:szCs w:val="21"/>
              </w:rPr>
            </w:pPr>
            <w:r>
              <w:rPr>
                <w:rFonts w:ascii="宋体" w:hAnsi="宋体"/>
                <w:szCs w:val="21"/>
              </w:rPr>
              <w:t>20</w:t>
            </w:r>
          </w:p>
        </w:tc>
        <w:tc>
          <w:tcPr>
            <w:tcW w:w="2547" w:type="dxa"/>
            <w:tcBorders>
              <w:top w:val="nil"/>
              <w:left w:val="nil"/>
              <w:bottom w:val="single" w:color="auto" w:sz="4" w:space="0"/>
              <w:right w:val="single" w:color="auto" w:sz="4" w:space="0"/>
            </w:tcBorders>
            <w:vAlign w:val="center"/>
          </w:tcPr>
          <w:p>
            <w:pPr>
              <w:widowControl/>
              <w:jc w:val="left"/>
              <w:rPr>
                <w:rFonts w:ascii="宋体" w:hAnsi="宋体"/>
                <w:szCs w:val="21"/>
              </w:rPr>
            </w:pPr>
            <w:r>
              <w:rPr>
                <w:rFonts w:ascii="宋体" w:hAnsi="宋体"/>
                <w:szCs w:val="21"/>
              </w:rPr>
              <w:t>GY/T 66-1989</w:t>
            </w:r>
          </w:p>
        </w:tc>
        <w:tc>
          <w:tcPr>
            <w:tcW w:w="3385" w:type="dxa"/>
            <w:tcBorders>
              <w:top w:val="nil"/>
              <w:left w:val="nil"/>
              <w:bottom w:val="single" w:color="auto" w:sz="4" w:space="0"/>
              <w:right w:val="single" w:color="auto" w:sz="4" w:space="0"/>
            </w:tcBorders>
            <w:vAlign w:val="center"/>
          </w:tcPr>
          <w:p>
            <w:pPr>
              <w:widowControl/>
              <w:jc w:val="left"/>
              <w:rPr>
                <w:rFonts w:ascii="宋体"/>
                <w:szCs w:val="21"/>
              </w:rPr>
            </w:pPr>
            <w:r>
              <w:rPr>
                <w:rFonts w:hint="eastAsia" w:ascii="宋体" w:hAnsi="宋体"/>
                <w:szCs w:val="21"/>
              </w:rPr>
              <w:t>有线广播用晶体管扩音机测量方法</w:t>
            </w:r>
          </w:p>
        </w:tc>
        <w:tc>
          <w:tcPr>
            <w:tcW w:w="4859" w:type="dxa"/>
            <w:tcBorders>
              <w:top w:val="nil"/>
              <w:left w:val="nil"/>
              <w:bottom w:val="single" w:color="auto" w:sz="4" w:space="0"/>
              <w:right w:val="single" w:color="auto" w:sz="4" w:space="0"/>
            </w:tcBorders>
            <w:vAlign w:val="center"/>
          </w:tcPr>
          <w:p>
            <w:pPr>
              <w:widowControl/>
              <w:jc w:val="left"/>
              <w:rPr>
                <w:rFonts w:ascii="宋体"/>
                <w:szCs w:val="21"/>
              </w:rPr>
            </w:pPr>
            <w:r>
              <w:rPr>
                <w:rFonts w:hint="eastAsia" w:ascii="宋体" w:hAnsi="宋体"/>
                <w:szCs w:val="21"/>
              </w:rPr>
              <w:t>　</w:t>
            </w:r>
          </w:p>
        </w:tc>
        <w:tc>
          <w:tcPr>
            <w:tcW w:w="2685" w:type="dxa"/>
            <w:tcBorders>
              <w:top w:val="nil"/>
              <w:left w:val="nil"/>
              <w:bottom w:val="single" w:color="auto" w:sz="4" w:space="0"/>
              <w:right w:val="single" w:color="auto" w:sz="4" w:space="0"/>
            </w:tcBorders>
            <w:vAlign w:val="center"/>
          </w:tcPr>
          <w:p>
            <w:r>
              <w:rPr>
                <w:rFonts w:hint="eastAsia" w:ascii="宋体" w:hAnsi="宋体" w:cs="宋体"/>
                <w:bCs/>
                <w:szCs w:val="21"/>
              </w:rPr>
              <w:t>技术过时落后</w:t>
            </w:r>
          </w:p>
        </w:tc>
      </w:tr>
      <w:tr>
        <w:tblPrEx>
          <w:tblLayout w:type="fixed"/>
          <w:tblCellMar>
            <w:top w:w="0" w:type="dxa"/>
            <w:left w:w="108" w:type="dxa"/>
            <w:bottom w:w="0" w:type="dxa"/>
            <w:right w:w="108" w:type="dxa"/>
          </w:tblCellMar>
        </w:tblPrEx>
        <w:trPr>
          <w:cantSplit/>
          <w:trHeight w:val="523" w:hRule="atLeast"/>
        </w:trPr>
        <w:tc>
          <w:tcPr>
            <w:tcW w:w="698" w:type="dxa"/>
            <w:tcBorders>
              <w:top w:val="nil"/>
              <w:left w:val="single" w:color="auto" w:sz="4" w:space="0"/>
              <w:bottom w:val="single" w:color="auto" w:sz="4" w:space="0"/>
              <w:right w:val="single" w:color="auto" w:sz="4" w:space="0"/>
            </w:tcBorders>
            <w:vAlign w:val="center"/>
          </w:tcPr>
          <w:p>
            <w:pPr>
              <w:widowControl/>
              <w:jc w:val="center"/>
              <w:rPr>
                <w:rFonts w:ascii="宋体" w:hAnsi="宋体"/>
                <w:szCs w:val="21"/>
              </w:rPr>
            </w:pPr>
            <w:r>
              <w:rPr>
                <w:rFonts w:ascii="宋体" w:hAnsi="宋体"/>
                <w:szCs w:val="21"/>
              </w:rPr>
              <w:t>21</w:t>
            </w:r>
          </w:p>
        </w:tc>
        <w:tc>
          <w:tcPr>
            <w:tcW w:w="2547" w:type="dxa"/>
            <w:tcBorders>
              <w:top w:val="nil"/>
              <w:left w:val="nil"/>
              <w:bottom w:val="single" w:color="auto" w:sz="4" w:space="0"/>
              <w:right w:val="single" w:color="auto" w:sz="4" w:space="0"/>
            </w:tcBorders>
            <w:vAlign w:val="center"/>
          </w:tcPr>
          <w:p>
            <w:pPr>
              <w:widowControl/>
              <w:jc w:val="left"/>
              <w:rPr>
                <w:rFonts w:ascii="宋体" w:hAnsi="宋体"/>
                <w:szCs w:val="21"/>
              </w:rPr>
            </w:pPr>
            <w:r>
              <w:rPr>
                <w:rFonts w:ascii="宋体" w:hAnsi="宋体"/>
                <w:szCs w:val="21"/>
              </w:rPr>
              <w:t xml:space="preserve">GY/T 67-1989 </w:t>
            </w:r>
          </w:p>
        </w:tc>
        <w:tc>
          <w:tcPr>
            <w:tcW w:w="3385" w:type="dxa"/>
            <w:tcBorders>
              <w:top w:val="nil"/>
              <w:left w:val="nil"/>
              <w:bottom w:val="single" w:color="auto" w:sz="4" w:space="0"/>
              <w:right w:val="single" w:color="auto" w:sz="4" w:space="0"/>
            </w:tcBorders>
            <w:vAlign w:val="center"/>
          </w:tcPr>
          <w:p>
            <w:pPr>
              <w:widowControl/>
              <w:jc w:val="left"/>
              <w:rPr>
                <w:rFonts w:ascii="宋体"/>
                <w:szCs w:val="21"/>
              </w:rPr>
            </w:pPr>
            <w:r>
              <w:rPr>
                <w:rFonts w:hint="eastAsia" w:ascii="宋体" w:hAnsi="宋体"/>
                <w:szCs w:val="21"/>
              </w:rPr>
              <w:t>有线广播用晶体管扩音机技术要求</w:t>
            </w:r>
          </w:p>
        </w:tc>
        <w:tc>
          <w:tcPr>
            <w:tcW w:w="4859" w:type="dxa"/>
            <w:tcBorders>
              <w:top w:val="nil"/>
              <w:left w:val="nil"/>
              <w:bottom w:val="single" w:color="auto" w:sz="4" w:space="0"/>
              <w:right w:val="single" w:color="auto" w:sz="4" w:space="0"/>
            </w:tcBorders>
            <w:vAlign w:val="center"/>
          </w:tcPr>
          <w:p>
            <w:pPr>
              <w:widowControl/>
              <w:jc w:val="left"/>
              <w:rPr>
                <w:rFonts w:ascii="宋体"/>
                <w:szCs w:val="21"/>
              </w:rPr>
            </w:pPr>
            <w:r>
              <w:rPr>
                <w:rFonts w:hint="eastAsia" w:ascii="宋体" w:hAnsi="宋体"/>
                <w:szCs w:val="21"/>
              </w:rPr>
              <w:t>　</w:t>
            </w:r>
          </w:p>
        </w:tc>
        <w:tc>
          <w:tcPr>
            <w:tcW w:w="2685" w:type="dxa"/>
            <w:tcBorders>
              <w:top w:val="nil"/>
              <w:left w:val="nil"/>
              <w:bottom w:val="single" w:color="auto" w:sz="4" w:space="0"/>
              <w:right w:val="single" w:color="auto" w:sz="4" w:space="0"/>
            </w:tcBorders>
            <w:vAlign w:val="center"/>
          </w:tcPr>
          <w:p>
            <w:r>
              <w:rPr>
                <w:rFonts w:hint="eastAsia" w:ascii="宋体" w:hAnsi="宋体" w:cs="宋体"/>
                <w:bCs/>
                <w:szCs w:val="21"/>
              </w:rPr>
              <w:t>技术过时落后</w:t>
            </w:r>
          </w:p>
        </w:tc>
      </w:tr>
      <w:tr>
        <w:tblPrEx>
          <w:tblLayout w:type="fixed"/>
          <w:tblCellMar>
            <w:top w:w="0" w:type="dxa"/>
            <w:left w:w="108" w:type="dxa"/>
            <w:bottom w:w="0" w:type="dxa"/>
            <w:right w:w="108" w:type="dxa"/>
          </w:tblCellMar>
        </w:tblPrEx>
        <w:trPr>
          <w:cantSplit/>
          <w:trHeight w:val="20" w:hRule="atLeast"/>
        </w:trPr>
        <w:tc>
          <w:tcPr>
            <w:tcW w:w="698" w:type="dxa"/>
            <w:tcBorders>
              <w:top w:val="nil"/>
              <w:left w:val="single" w:color="auto" w:sz="4" w:space="0"/>
              <w:bottom w:val="single" w:color="auto" w:sz="4" w:space="0"/>
              <w:right w:val="single" w:color="auto" w:sz="4" w:space="0"/>
            </w:tcBorders>
            <w:vAlign w:val="center"/>
          </w:tcPr>
          <w:p>
            <w:pPr>
              <w:widowControl/>
              <w:jc w:val="center"/>
              <w:rPr>
                <w:rFonts w:ascii="宋体" w:hAnsi="宋体"/>
                <w:szCs w:val="21"/>
              </w:rPr>
            </w:pPr>
            <w:r>
              <w:rPr>
                <w:rFonts w:ascii="宋体" w:hAnsi="宋体"/>
                <w:szCs w:val="21"/>
              </w:rPr>
              <w:t>22</w:t>
            </w:r>
          </w:p>
        </w:tc>
        <w:tc>
          <w:tcPr>
            <w:tcW w:w="2547" w:type="dxa"/>
            <w:tcBorders>
              <w:top w:val="nil"/>
              <w:left w:val="nil"/>
              <w:bottom w:val="single" w:color="auto" w:sz="4" w:space="0"/>
              <w:right w:val="single" w:color="auto" w:sz="4" w:space="0"/>
            </w:tcBorders>
            <w:vAlign w:val="center"/>
          </w:tcPr>
          <w:p>
            <w:pPr>
              <w:widowControl/>
              <w:jc w:val="left"/>
              <w:rPr>
                <w:rFonts w:ascii="宋体" w:hAnsi="宋体"/>
                <w:szCs w:val="21"/>
              </w:rPr>
            </w:pPr>
            <w:r>
              <w:rPr>
                <w:rFonts w:ascii="宋体" w:hAnsi="宋体"/>
                <w:szCs w:val="21"/>
              </w:rPr>
              <w:t>GY/T 79-1989</w:t>
            </w:r>
          </w:p>
        </w:tc>
        <w:tc>
          <w:tcPr>
            <w:tcW w:w="3385" w:type="dxa"/>
            <w:tcBorders>
              <w:top w:val="nil"/>
              <w:left w:val="nil"/>
              <w:bottom w:val="single" w:color="auto" w:sz="4" w:space="0"/>
              <w:right w:val="single" w:color="auto" w:sz="4" w:space="0"/>
            </w:tcBorders>
            <w:vAlign w:val="center"/>
          </w:tcPr>
          <w:p>
            <w:pPr>
              <w:widowControl/>
              <w:jc w:val="left"/>
              <w:rPr>
                <w:rFonts w:ascii="宋体"/>
                <w:szCs w:val="21"/>
              </w:rPr>
            </w:pPr>
            <w:r>
              <w:rPr>
                <w:rFonts w:hint="eastAsia" w:ascii="宋体" w:hAnsi="宋体"/>
                <w:szCs w:val="21"/>
              </w:rPr>
              <w:t>农村有线广播用户设备技术指标测量方法</w:t>
            </w:r>
          </w:p>
        </w:tc>
        <w:tc>
          <w:tcPr>
            <w:tcW w:w="4859" w:type="dxa"/>
            <w:tcBorders>
              <w:top w:val="nil"/>
              <w:left w:val="nil"/>
              <w:bottom w:val="single" w:color="auto" w:sz="4" w:space="0"/>
              <w:right w:val="single" w:color="auto" w:sz="4" w:space="0"/>
            </w:tcBorders>
            <w:vAlign w:val="center"/>
          </w:tcPr>
          <w:p>
            <w:pPr>
              <w:widowControl/>
              <w:jc w:val="left"/>
              <w:rPr>
                <w:rFonts w:ascii="宋体"/>
                <w:szCs w:val="21"/>
              </w:rPr>
            </w:pPr>
            <w:r>
              <w:rPr>
                <w:rFonts w:hint="eastAsia" w:ascii="宋体" w:hAnsi="宋体"/>
                <w:szCs w:val="21"/>
              </w:rPr>
              <w:t>　</w:t>
            </w:r>
          </w:p>
        </w:tc>
        <w:tc>
          <w:tcPr>
            <w:tcW w:w="2685" w:type="dxa"/>
            <w:tcBorders>
              <w:top w:val="nil"/>
              <w:left w:val="nil"/>
              <w:bottom w:val="single" w:color="auto" w:sz="4" w:space="0"/>
              <w:right w:val="single" w:color="auto" w:sz="4" w:space="0"/>
            </w:tcBorders>
            <w:vAlign w:val="center"/>
          </w:tcPr>
          <w:p>
            <w:r>
              <w:rPr>
                <w:rFonts w:hint="eastAsia" w:ascii="宋体" w:hAnsi="宋体" w:cs="宋体"/>
                <w:bCs/>
                <w:szCs w:val="21"/>
              </w:rPr>
              <w:t>技术过时落后</w:t>
            </w:r>
          </w:p>
        </w:tc>
      </w:tr>
      <w:tr>
        <w:tblPrEx>
          <w:tblLayout w:type="fixed"/>
          <w:tblCellMar>
            <w:top w:w="0" w:type="dxa"/>
            <w:left w:w="108" w:type="dxa"/>
            <w:bottom w:w="0" w:type="dxa"/>
            <w:right w:w="108" w:type="dxa"/>
          </w:tblCellMar>
        </w:tblPrEx>
        <w:trPr>
          <w:cantSplit/>
          <w:trHeight w:val="20" w:hRule="atLeast"/>
        </w:trPr>
        <w:tc>
          <w:tcPr>
            <w:tcW w:w="698" w:type="dxa"/>
            <w:tcBorders>
              <w:top w:val="nil"/>
              <w:left w:val="single" w:color="auto" w:sz="4" w:space="0"/>
              <w:bottom w:val="single" w:color="auto" w:sz="4" w:space="0"/>
              <w:right w:val="single" w:color="auto" w:sz="4" w:space="0"/>
            </w:tcBorders>
            <w:vAlign w:val="center"/>
          </w:tcPr>
          <w:p>
            <w:pPr>
              <w:widowControl/>
              <w:jc w:val="center"/>
              <w:rPr>
                <w:rFonts w:ascii="宋体" w:hAnsi="宋体"/>
                <w:szCs w:val="21"/>
              </w:rPr>
            </w:pPr>
            <w:r>
              <w:rPr>
                <w:rFonts w:ascii="宋体" w:hAnsi="宋体"/>
                <w:szCs w:val="21"/>
              </w:rPr>
              <w:t>23</w:t>
            </w:r>
          </w:p>
        </w:tc>
        <w:tc>
          <w:tcPr>
            <w:tcW w:w="2547" w:type="dxa"/>
            <w:tcBorders>
              <w:top w:val="nil"/>
              <w:left w:val="nil"/>
              <w:bottom w:val="single" w:color="auto" w:sz="4" w:space="0"/>
              <w:right w:val="single" w:color="auto" w:sz="4" w:space="0"/>
            </w:tcBorders>
            <w:vAlign w:val="center"/>
          </w:tcPr>
          <w:p>
            <w:pPr>
              <w:widowControl/>
              <w:jc w:val="left"/>
              <w:rPr>
                <w:rFonts w:ascii="宋体" w:hAnsi="宋体"/>
                <w:szCs w:val="21"/>
              </w:rPr>
            </w:pPr>
            <w:r>
              <w:rPr>
                <w:rFonts w:ascii="宋体" w:hAnsi="宋体"/>
                <w:szCs w:val="21"/>
              </w:rPr>
              <w:t xml:space="preserve">GY/T 123-1995 </w:t>
            </w:r>
          </w:p>
        </w:tc>
        <w:tc>
          <w:tcPr>
            <w:tcW w:w="3385" w:type="dxa"/>
            <w:tcBorders>
              <w:top w:val="nil"/>
              <w:left w:val="nil"/>
              <w:bottom w:val="single" w:color="auto" w:sz="4" w:space="0"/>
              <w:right w:val="single" w:color="auto" w:sz="4" w:space="0"/>
            </w:tcBorders>
            <w:vAlign w:val="center"/>
          </w:tcPr>
          <w:p>
            <w:pPr>
              <w:widowControl/>
              <w:jc w:val="left"/>
              <w:rPr>
                <w:rFonts w:ascii="宋体"/>
                <w:szCs w:val="21"/>
              </w:rPr>
            </w:pPr>
            <w:r>
              <w:rPr>
                <w:rFonts w:hint="eastAsia" w:ascii="宋体" w:hAnsi="宋体"/>
                <w:szCs w:val="21"/>
              </w:rPr>
              <w:t>有线电视系统频道处理器入网技术条件和测量方法</w:t>
            </w:r>
          </w:p>
        </w:tc>
        <w:tc>
          <w:tcPr>
            <w:tcW w:w="4859" w:type="dxa"/>
            <w:tcBorders>
              <w:top w:val="nil"/>
              <w:left w:val="nil"/>
              <w:bottom w:val="single" w:color="auto" w:sz="4" w:space="0"/>
              <w:right w:val="single" w:color="auto" w:sz="4" w:space="0"/>
            </w:tcBorders>
            <w:vAlign w:val="center"/>
          </w:tcPr>
          <w:p>
            <w:pPr>
              <w:widowControl/>
              <w:jc w:val="left"/>
              <w:rPr>
                <w:rFonts w:ascii="宋体"/>
                <w:szCs w:val="21"/>
              </w:rPr>
            </w:pPr>
            <w:r>
              <w:rPr>
                <w:rFonts w:hint="eastAsia" w:ascii="宋体" w:hAnsi="宋体"/>
                <w:szCs w:val="21"/>
              </w:rPr>
              <w:t>　</w:t>
            </w:r>
          </w:p>
        </w:tc>
        <w:tc>
          <w:tcPr>
            <w:tcW w:w="2685" w:type="dxa"/>
            <w:tcBorders>
              <w:top w:val="nil"/>
              <w:left w:val="nil"/>
              <w:bottom w:val="single" w:color="auto" w:sz="4" w:space="0"/>
              <w:right w:val="single" w:color="auto" w:sz="4" w:space="0"/>
            </w:tcBorders>
            <w:vAlign w:val="center"/>
          </w:tcPr>
          <w:p>
            <w:r>
              <w:rPr>
                <w:rFonts w:hint="eastAsia" w:ascii="宋体" w:hAnsi="宋体" w:cs="宋体"/>
                <w:bCs/>
                <w:szCs w:val="21"/>
              </w:rPr>
              <w:t>技术过时落后</w:t>
            </w:r>
          </w:p>
        </w:tc>
      </w:tr>
      <w:tr>
        <w:tblPrEx>
          <w:tblLayout w:type="fixed"/>
          <w:tblCellMar>
            <w:top w:w="0" w:type="dxa"/>
            <w:left w:w="108" w:type="dxa"/>
            <w:bottom w:w="0" w:type="dxa"/>
            <w:right w:w="108" w:type="dxa"/>
          </w:tblCellMar>
        </w:tblPrEx>
        <w:trPr>
          <w:cantSplit/>
          <w:trHeight w:val="20" w:hRule="atLeast"/>
        </w:trPr>
        <w:tc>
          <w:tcPr>
            <w:tcW w:w="698" w:type="dxa"/>
            <w:tcBorders>
              <w:top w:val="nil"/>
              <w:left w:val="single" w:color="auto" w:sz="4" w:space="0"/>
              <w:bottom w:val="single" w:color="auto" w:sz="4" w:space="0"/>
              <w:right w:val="single" w:color="auto" w:sz="4" w:space="0"/>
            </w:tcBorders>
            <w:vAlign w:val="center"/>
          </w:tcPr>
          <w:p>
            <w:pPr>
              <w:widowControl/>
              <w:jc w:val="center"/>
              <w:rPr>
                <w:rFonts w:ascii="宋体" w:hAnsi="宋体"/>
                <w:szCs w:val="21"/>
              </w:rPr>
            </w:pPr>
            <w:r>
              <w:rPr>
                <w:rFonts w:ascii="宋体" w:hAnsi="宋体"/>
                <w:szCs w:val="21"/>
              </w:rPr>
              <w:t>24</w:t>
            </w:r>
          </w:p>
        </w:tc>
        <w:tc>
          <w:tcPr>
            <w:tcW w:w="2547" w:type="dxa"/>
            <w:tcBorders>
              <w:top w:val="nil"/>
              <w:left w:val="nil"/>
              <w:bottom w:val="single" w:color="auto" w:sz="4" w:space="0"/>
              <w:right w:val="single" w:color="auto" w:sz="4" w:space="0"/>
            </w:tcBorders>
            <w:vAlign w:val="center"/>
          </w:tcPr>
          <w:p>
            <w:pPr>
              <w:widowControl/>
              <w:jc w:val="left"/>
              <w:rPr>
                <w:rFonts w:ascii="宋体" w:hAnsi="宋体"/>
                <w:szCs w:val="21"/>
              </w:rPr>
            </w:pPr>
            <w:r>
              <w:rPr>
                <w:rFonts w:ascii="宋体" w:hAnsi="宋体"/>
                <w:szCs w:val="21"/>
              </w:rPr>
              <w:t>GY/T 125-1995</w:t>
            </w:r>
          </w:p>
        </w:tc>
        <w:tc>
          <w:tcPr>
            <w:tcW w:w="3385" w:type="dxa"/>
            <w:tcBorders>
              <w:top w:val="nil"/>
              <w:left w:val="nil"/>
              <w:bottom w:val="single" w:color="auto" w:sz="4" w:space="0"/>
              <w:right w:val="single" w:color="auto" w:sz="4" w:space="0"/>
            </w:tcBorders>
            <w:vAlign w:val="center"/>
          </w:tcPr>
          <w:p>
            <w:pPr>
              <w:widowControl/>
              <w:jc w:val="left"/>
              <w:rPr>
                <w:rFonts w:ascii="宋体"/>
                <w:szCs w:val="21"/>
              </w:rPr>
            </w:pPr>
            <w:r>
              <w:rPr>
                <w:rFonts w:hint="eastAsia" w:ascii="宋体" w:hAnsi="宋体"/>
                <w:szCs w:val="21"/>
              </w:rPr>
              <w:t>有线电视系统接收机变换器入网技术条件和测量方法</w:t>
            </w:r>
          </w:p>
        </w:tc>
        <w:tc>
          <w:tcPr>
            <w:tcW w:w="4859" w:type="dxa"/>
            <w:tcBorders>
              <w:top w:val="nil"/>
              <w:left w:val="nil"/>
              <w:bottom w:val="single" w:color="auto" w:sz="4" w:space="0"/>
              <w:right w:val="single" w:color="auto" w:sz="4" w:space="0"/>
            </w:tcBorders>
            <w:vAlign w:val="center"/>
          </w:tcPr>
          <w:p>
            <w:pPr>
              <w:widowControl/>
              <w:jc w:val="left"/>
              <w:rPr>
                <w:rFonts w:ascii="宋体"/>
                <w:szCs w:val="21"/>
              </w:rPr>
            </w:pPr>
            <w:r>
              <w:rPr>
                <w:rFonts w:hint="eastAsia" w:ascii="宋体" w:hAnsi="宋体"/>
                <w:szCs w:val="21"/>
              </w:rPr>
              <w:t>　</w:t>
            </w:r>
          </w:p>
        </w:tc>
        <w:tc>
          <w:tcPr>
            <w:tcW w:w="2685" w:type="dxa"/>
            <w:tcBorders>
              <w:top w:val="nil"/>
              <w:left w:val="nil"/>
              <w:bottom w:val="single" w:color="auto" w:sz="4" w:space="0"/>
              <w:right w:val="single" w:color="auto" w:sz="4" w:space="0"/>
            </w:tcBorders>
            <w:vAlign w:val="center"/>
          </w:tcPr>
          <w:p>
            <w:r>
              <w:rPr>
                <w:rFonts w:hint="eastAsia" w:ascii="宋体" w:hAnsi="宋体" w:cs="宋体"/>
                <w:bCs/>
                <w:szCs w:val="21"/>
              </w:rPr>
              <w:t>技术过时落后</w:t>
            </w:r>
          </w:p>
        </w:tc>
      </w:tr>
      <w:tr>
        <w:tblPrEx>
          <w:tblLayout w:type="fixed"/>
          <w:tblCellMar>
            <w:top w:w="0" w:type="dxa"/>
            <w:left w:w="108" w:type="dxa"/>
            <w:bottom w:w="0" w:type="dxa"/>
            <w:right w:w="108" w:type="dxa"/>
          </w:tblCellMar>
        </w:tblPrEx>
        <w:trPr>
          <w:cantSplit/>
          <w:trHeight w:val="20" w:hRule="atLeast"/>
        </w:trPr>
        <w:tc>
          <w:tcPr>
            <w:tcW w:w="698" w:type="dxa"/>
            <w:tcBorders>
              <w:top w:val="nil"/>
              <w:left w:val="single" w:color="auto" w:sz="4" w:space="0"/>
              <w:bottom w:val="single" w:color="auto" w:sz="4" w:space="0"/>
              <w:right w:val="single" w:color="auto" w:sz="4" w:space="0"/>
            </w:tcBorders>
            <w:vAlign w:val="center"/>
          </w:tcPr>
          <w:p>
            <w:pPr>
              <w:widowControl/>
              <w:jc w:val="center"/>
              <w:rPr>
                <w:rFonts w:ascii="宋体" w:hAnsi="宋体"/>
                <w:szCs w:val="21"/>
              </w:rPr>
            </w:pPr>
            <w:r>
              <w:rPr>
                <w:rFonts w:ascii="宋体" w:hAnsi="宋体"/>
                <w:szCs w:val="21"/>
              </w:rPr>
              <w:t>25</w:t>
            </w:r>
          </w:p>
        </w:tc>
        <w:tc>
          <w:tcPr>
            <w:tcW w:w="2547" w:type="dxa"/>
            <w:tcBorders>
              <w:top w:val="nil"/>
              <w:left w:val="nil"/>
              <w:bottom w:val="single" w:color="auto" w:sz="4" w:space="0"/>
              <w:right w:val="single" w:color="auto" w:sz="4" w:space="0"/>
            </w:tcBorders>
            <w:vAlign w:val="center"/>
          </w:tcPr>
          <w:p>
            <w:pPr>
              <w:widowControl/>
              <w:jc w:val="left"/>
              <w:rPr>
                <w:rFonts w:ascii="宋体" w:hAnsi="宋体"/>
                <w:szCs w:val="21"/>
              </w:rPr>
            </w:pPr>
            <w:r>
              <w:rPr>
                <w:rFonts w:ascii="宋体" w:hAnsi="宋体"/>
                <w:szCs w:val="21"/>
              </w:rPr>
              <w:t xml:space="preserve">GY/T 145-2000 </w:t>
            </w:r>
          </w:p>
        </w:tc>
        <w:tc>
          <w:tcPr>
            <w:tcW w:w="3385" w:type="dxa"/>
            <w:tcBorders>
              <w:top w:val="nil"/>
              <w:left w:val="nil"/>
              <w:bottom w:val="single" w:color="auto" w:sz="4" w:space="0"/>
              <w:right w:val="single" w:color="auto" w:sz="4" w:space="0"/>
            </w:tcBorders>
            <w:vAlign w:val="center"/>
          </w:tcPr>
          <w:p>
            <w:pPr>
              <w:widowControl/>
              <w:jc w:val="left"/>
              <w:rPr>
                <w:rFonts w:ascii="宋体"/>
                <w:szCs w:val="21"/>
              </w:rPr>
            </w:pPr>
            <w:r>
              <w:rPr>
                <w:rFonts w:hint="eastAsia" w:ascii="宋体" w:hAnsi="宋体"/>
                <w:szCs w:val="21"/>
              </w:rPr>
              <w:t>广播电视</w:t>
            </w:r>
            <w:r>
              <w:rPr>
                <w:rFonts w:ascii="宋体" w:hAnsi="宋体"/>
                <w:szCs w:val="21"/>
              </w:rPr>
              <w:t>SDH</w:t>
            </w:r>
            <w:r>
              <w:rPr>
                <w:rFonts w:hint="eastAsia" w:ascii="宋体" w:hAnsi="宋体"/>
                <w:szCs w:val="21"/>
              </w:rPr>
              <w:t>干线网网元管理信息模型规范</w:t>
            </w:r>
          </w:p>
        </w:tc>
        <w:tc>
          <w:tcPr>
            <w:tcW w:w="4859" w:type="dxa"/>
            <w:tcBorders>
              <w:top w:val="nil"/>
              <w:left w:val="nil"/>
              <w:bottom w:val="single" w:color="auto" w:sz="4" w:space="0"/>
              <w:right w:val="single" w:color="auto" w:sz="4" w:space="0"/>
            </w:tcBorders>
            <w:vAlign w:val="center"/>
          </w:tcPr>
          <w:p>
            <w:pPr>
              <w:widowControl/>
              <w:jc w:val="left"/>
              <w:rPr>
                <w:rFonts w:ascii="宋体"/>
                <w:szCs w:val="21"/>
              </w:rPr>
            </w:pPr>
            <w:r>
              <w:rPr>
                <w:rFonts w:hint="eastAsia" w:ascii="宋体" w:hAnsi="宋体"/>
                <w:szCs w:val="21"/>
              </w:rPr>
              <w:t>　</w:t>
            </w:r>
          </w:p>
        </w:tc>
        <w:tc>
          <w:tcPr>
            <w:tcW w:w="2685" w:type="dxa"/>
            <w:tcBorders>
              <w:top w:val="nil"/>
              <w:left w:val="nil"/>
              <w:bottom w:val="single" w:color="auto" w:sz="4" w:space="0"/>
              <w:right w:val="single" w:color="auto" w:sz="4" w:space="0"/>
            </w:tcBorders>
            <w:vAlign w:val="center"/>
          </w:tcPr>
          <w:p>
            <w:r>
              <w:rPr>
                <w:rFonts w:hint="eastAsia" w:ascii="宋体" w:hAnsi="宋体" w:cs="宋体"/>
                <w:bCs/>
                <w:szCs w:val="21"/>
              </w:rPr>
              <w:t>技术过时落后</w:t>
            </w:r>
          </w:p>
        </w:tc>
      </w:tr>
      <w:tr>
        <w:tblPrEx>
          <w:tblLayout w:type="fixed"/>
          <w:tblCellMar>
            <w:top w:w="0" w:type="dxa"/>
            <w:left w:w="108" w:type="dxa"/>
            <w:bottom w:w="0" w:type="dxa"/>
            <w:right w:w="108" w:type="dxa"/>
          </w:tblCellMar>
        </w:tblPrEx>
        <w:trPr>
          <w:cantSplit/>
          <w:trHeight w:val="424" w:hRule="atLeast"/>
        </w:trPr>
        <w:tc>
          <w:tcPr>
            <w:tcW w:w="698" w:type="dxa"/>
            <w:tcBorders>
              <w:top w:val="nil"/>
              <w:left w:val="single" w:color="auto" w:sz="4" w:space="0"/>
              <w:bottom w:val="single" w:color="auto" w:sz="4" w:space="0"/>
              <w:right w:val="single" w:color="auto" w:sz="4" w:space="0"/>
            </w:tcBorders>
            <w:vAlign w:val="center"/>
          </w:tcPr>
          <w:p>
            <w:pPr>
              <w:widowControl/>
              <w:jc w:val="center"/>
              <w:rPr>
                <w:rFonts w:ascii="宋体" w:hAnsi="宋体"/>
                <w:szCs w:val="21"/>
              </w:rPr>
            </w:pPr>
            <w:r>
              <w:rPr>
                <w:rFonts w:ascii="宋体" w:hAnsi="宋体"/>
                <w:szCs w:val="21"/>
              </w:rPr>
              <w:t>26</w:t>
            </w:r>
          </w:p>
        </w:tc>
        <w:tc>
          <w:tcPr>
            <w:tcW w:w="2547" w:type="dxa"/>
            <w:tcBorders>
              <w:top w:val="nil"/>
              <w:left w:val="nil"/>
              <w:bottom w:val="single" w:color="auto" w:sz="4" w:space="0"/>
              <w:right w:val="single" w:color="auto" w:sz="4" w:space="0"/>
            </w:tcBorders>
            <w:vAlign w:val="center"/>
          </w:tcPr>
          <w:p>
            <w:pPr>
              <w:widowControl/>
              <w:jc w:val="left"/>
              <w:rPr>
                <w:rFonts w:ascii="宋体" w:hAnsi="宋体"/>
                <w:szCs w:val="21"/>
              </w:rPr>
            </w:pPr>
            <w:r>
              <w:rPr>
                <w:rFonts w:ascii="宋体" w:hAnsi="宋体"/>
                <w:szCs w:val="21"/>
              </w:rPr>
              <w:t xml:space="preserve">GY/T 16-1995 </w:t>
            </w:r>
          </w:p>
        </w:tc>
        <w:tc>
          <w:tcPr>
            <w:tcW w:w="3385" w:type="dxa"/>
            <w:tcBorders>
              <w:top w:val="nil"/>
              <w:left w:val="nil"/>
              <w:bottom w:val="single" w:color="auto" w:sz="4" w:space="0"/>
              <w:right w:val="single" w:color="auto" w:sz="4" w:space="0"/>
            </w:tcBorders>
            <w:vAlign w:val="center"/>
          </w:tcPr>
          <w:p>
            <w:pPr>
              <w:widowControl/>
              <w:jc w:val="left"/>
              <w:rPr>
                <w:rFonts w:ascii="宋体"/>
                <w:szCs w:val="21"/>
              </w:rPr>
            </w:pPr>
            <w:r>
              <w:rPr>
                <w:rFonts w:hint="eastAsia" w:ascii="宋体" w:hAnsi="宋体"/>
                <w:szCs w:val="21"/>
              </w:rPr>
              <w:t>农村有线广播用户设备技术要求</w:t>
            </w:r>
          </w:p>
        </w:tc>
        <w:tc>
          <w:tcPr>
            <w:tcW w:w="4859" w:type="dxa"/>
            <w:tcBorders>
              <w:top w:val="nil"/>
              <w:left w:val="nil"/>
              <w:bottom w:val="single" w:color="auto" w:sz="4" w:space="0"/>
              <w:right w:val="single" w:color="auto" w:sz="4" w:space="0"/>
            </w:tcBorders>
            <w:vAlign w:val="center"/>
          </w:tcPr>
          <w:p>
            <w:pPr>
              <w:widowControl/>
              <w:jc w:val="left"/>
              <w:rPr>
                <w:rFonts w:ascii="宋体"/>
                <w:szCs w:val="21"/>
              </w:rPr>
            </w:pPr>
            <w:r>
              <w:rPr>
                <w:rFonts w:hint="eastAsia" w:ascii="宋体" w:hAnsi="宋体"/>
                <w:szCs w:val="21"/>
              </w:rPr>
              <w:t>　</w:t>
            </w:r>
          </w:p>
        </w:tc>
        <w:tc>
          <w:tcPr>
            <w:tcW w:w="2685" w:type="dxa"/>
            <w:tcBorders>
              <w:top w:val="nil"/>
              <w:left w:val="nil"/>
              <w:bottom w:val="single" w:color="auto" w:sz="4" w:space="0"/>
              <w:right w:val="single" w:color="auto" w:sz="4" w:space="0"/>
            </w:tcBorders>
            <w:vAlign w:val="center"/>
          </w:tcPr>
          <w:p>
            <w:r>
              <w:rPr>
                <w:rFonts w:hint="eastAsia" w:ascii="宋体" w:hAnsi="宋体" w:cs="宋体"/>
                <w:bCs/>
                <w:szCs w:val="21"/>
              </w:rPr>
              <w:t>技术过时落后</w:t>
            </w:r>
          </w:p>
        </w:tc>
      </w:tr>
      <w:tr>
        <w:tblPrEx>
          <w:tblLayout w:type="fixed"/>
          <w:tblCellMar>
            <w:top w:w="0" w:type="dxa"/>
            <w:left w:w="108" w:type="dxa"/>
            <w:bottom w:w="0" w:type="dxa"/>
            <w:right w:w="108" w:type="dxa"/>
          </w:tblCellMar>
        </w:tblPrEx>
        <w:trPr>
          <w:cantSplit/>
          <w:trHeight w:val="20" w:hRule="atLeast"/>
        </w:trPr>
        <w:tc>
          <w:tcPr>
            <w:tcW w:w="698" w:type="dxa"/>
            <w:tcBorders>
              <w:top w:val="nil"/>
              <w:left w:val="single" w:color="auto" w:sz="4" w:space="0"/>
              <w:bottom w:val="single" w:color="auto" w:sz="4" w:space="0"/>
              <w:right w:val="single" w:color="auto" w:sz="4" w:space="0"/>
            </w:tcBorders>
            <w:vAlign w:val="center"/>
          </w:tcPr>
          <w:p>
            <w:pPr>
              <w:widowControl/>
              <w:jc w:val="center"/>
              <w:rPr>
                <w:rFonts w:ascii="宋体" w:hAnsi="宋体"/>
                <w:szCs w:val="21"/>
              </w:rPr>
            </w:pPr>
            <w:r>
              <w:rPr>
                <w:rFonts w:ascii="宋体" w:hAnsi="宋体"/>
                <w:szCs w:val="21"/>
              </w:rPr>
              <w:t>27</w:t>
            </w:r>
          </w:p>
        </w:tc>
        <w:tc>
          <w:tcPr>
            <w:tcW w:w="2547" w:type="dxa"/>
            <w:tcBorders>
              <w:top w:val="nil"/>
              <w:left w:val="nil"/>
              <w:bottom w:val="single" w:color="auto" w:sz="4" w:space="0"/>
              <w:right w:val="single" w:color="auto" w:sz="4" w:space="0"/>
            </w:tcBorders>
            <w:vAlign w:val="center"/>
          </w:tcPr>
          <w:p>
            <w:pPr>
              <w:widowControl/>
              <w:jc w:val="left"/>
              <w:rPr>
                <w:rFonts w:ascii="宋体" w:hAnsi="宋体"/>
                <w:szCs w:val="21"/>
              </w:rPr>
            </w:pPr>
            <w:r>
              <w:rPr>
                <w:rFonts w:ascii="宋体" w:hAnsi="宋体"/>
                <w:szCs w:val="21"/>
              </w:rPr>
              <w:t>GY 21-1984</w:t>
            </w:r>
          </w:p>
        </w:tc>
        <w:tc>
          <w:tcPr>
            <w:tcW w:w="3385" w:type="dxa"/>
            <w:tcBorders>
              <w:top w:val="nil"/>
              <w:left w:val="nil"/>
              <w:bottom w:val="single" w:color="auto" w:sz="4" w:space="0"/>
              <w:right w:val="single" w:color="auto" w:sz="4" w:space="0"/>
            </w:tcBorders>
            <w:vAlign w:val="center"/>
          </w:tcPr>
          <w:p>
            <w:pPr>
              <w:widowControl/>
              <w:jc w:val="left"/>
              <w:rPr>
                <w:rFonts w:ascii="宋体"/>
                <w:szCs w:val="21"/>
              </w:rPr>
            </w:pPr>
            <w:r>
              <w:rPr>
                <w:rFonts w:hint="eastAsia" w:ascii="宋体" w:hAnsi="宋体"/>
                <w:szCs w:val="21"/>
              </w:rPr>
              <w:t>农村有线广播技术安全</w:t>
            </w:r>
          </w:p>
        </w:tc>
        <w:tc>
          <w:tcPr>
            <w:tcW w:w="4859" w:type="dxa"/>
            <w:tcBorders>
              <w:top w:val="nil"/>
              <w:left w:val="nil"/>
              <w:bottom w:val="single" w:color="auto" w:sz="4" w:space="0"/>
              <w:right w:val="single" w:color="auto" w:sz="4" w:space="0"/>
            </w:tcBorders>
            <w:vAlign w:val="center"/>
          </w:tcPr>
          <w:p>
            <w:pPr>
              <w:widowControl/>
              <w:jc w:val="left"/>
              <w:rPr>
                <w:rFonts w:ascii="宋体"/>
                <w:szCs w:val="21"/>
              </w:rPr>
            </w:pPr>
            <w:r>
              <w:rPr>
                <w:rFonts w:hint="eastAsia" w:ascii="宋体" w:hAnsi="宋体"/>
                <w:szCs w:val="21"/>
              </w:rPr>
              <w:t>其内容包括农村有线广播技术设备及技术安全措施。</w:t>
            </w:r>
          </w:p>
        </w:tc>
        <w:tc>
          <w:tcPr>
            <w:tcW w:w="2685" w:type="dxa"/>
            <w:tcBorders>
              <w:top w:val="nil"/>
              <w:left w:val="nil"/>
              <w:bottom w:val="single" w:color="auto" w:sz="4" w:space="0"/>
              <w:right w:val="single" w:color="auto" w:sz="4" w:space="0"/>
            </w:tcBorders>
            <w:vAlign w:val="center"/>
          </w:tcPr>
          <w:p>
            <w:r>
              <w:rPr>
                <w:rFonts w:hint="eastAsia" w:ascii="宋体" w:hAnsi="宋体" w:cs="宋体"/>
                <w:bCs/>
                <w:szCs w:val="21"/>
              </w:rPr>
              <w:t>技术过时落后</w:t>
            </w:r>
          </w:p>
        </w:tc>
      </w:tr>
    </w:tbl>
    <w:p>
      <w:pPr>
        <w:spacing w:line="360" w:lineRule="auto"/>
        <w:jc w:val="left"/>
        <w:rPr>
          <w:rFonts w:ascii="仿宋_GB2312" w:eastAsia="仿宋_GB2312"/>
          <w:sz w:val="28"/>
          <w:szCs w:val="32"/>
        </w:rPr>
      </w:pPr>
    </w:p>
    <w:p>
      <w:pPr>
        <w:spacing w:line="360" w:lineRule="auto"/>
        <w:jc w:val="center"/>
        <w:rPr>
          <w:rFonts w:ascii="楷体_GB2312" w:eastAsia="楷体_GB2312"/>
          <w:b/>
          <w:sz w:val="28"/>
          <w:szCs w:val="28"/>
        </w:rPr>
      </w:pPr>
      <w:r>
        <w:rPr>
          <w:rFonts w:hint="eastAsia" w:ascii="楷体_GB2312" w:eastAsia="楷体_GB2312"/>
          <w:b/>
          <w:sz w:val="28"/>
          <w:szCs w:val="28"/>
        </w:rPr>
        <w:t>三、无线领域</w:t>
      </w:r>
      <w:r>
        <w:rPr>
          <w:rFonts w:hint="default" w:ascii="楷体_GB2312" w:eastAsia="楷体_GB2312"/>
          <w:b/>
          <w:sz w:val="28"/>
          <w:szCs w:val="28"/>
        </w:rPr>
        <w:t>（28项</w:t>
      </w:r>
      <w:bookmarkStart w:id="0" w:name="_GoBack"/>
      <w:bookmarkEnd w:id="0"/>
      <w:r>
        <w:rPr>
          <w:rFonts w:hint="default" w:ascii="楷体_GB2312" w:eastAsia="楷体_GB2312"/>
          <w:b/>
          <w:sz w:val="28"/>
          <w:szCs w:val="28"/>
        </w:rPr>
        <w:t>）</w:t>
      </w:r>
    </w:p>
    <w:tbl>
      <w:tblPr>
        <w:tblStyle w:val="10"/>
        <w:tblW w:w="14174" w:type="dxa"/>
        <w:tblInd w:w="0" w:type="dxa"/>
        <w:tblLayout w:type="fixed"/>
        <w:tblCellMar>
          <w:top w:w="0" w:type="dxa"/>
          <w:left w:w="108" w:type="dxa"/>
          <w:bottom w:w="0" w:type="dxa"/>
          <w:right w:w="108" w:type="dxa"/>
        </w:tblCellMar>
      </w:tblPr>
      <w:tblGrid>
        <w:gridCol w:w="698"/>
        <w:gridCol w:w="2531"/>
        <w:gridCol w:w="3388"/>
        <w:gridCol w:w="4884"/>
        <w:gridCol w:w="2673"/>
      </w:tblGrid>
      <w:tr>
        <w:tblPrEx>
          <w:tblLayout w:type="fixed"/>
          <w:tblCellMar>
            <w:top w:w="0" w:type="dxa"/>
            <w:left w:w="108" w:type="dxa"/>
            <w:bottom w:w="0" w:type="dxa"/>
            <w:right w:w="108" w:type="dxa"/>
          </w:tblCellMar>
        </w:tblPrEx>
        <w:trPr>
          <w:cantSplit/>
          <w:trHeight w:val="426" w:hRule="atLeast"/>
          <w:tblHeader/>
        </w:trPr>
        <w:tc>
          <w:tcPr>
            <w:tcW w:w="698"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rPr>
                <w:rFonts w:ascii="宋体"/>
                <w:b/>
                <w:szCs w:val="21"/>
              </w:rPr>
            </w:pPr>
            <w:r>
              <w:rPr>
                <w:rFonts w:hint="eastAsia" w:ascii="宋体" w:hAnsi="宋体"/>
                <w:b/>
                <w:szCs w:val="21"/>
              </w:rPr>
              <w:t>序号</w:t>
            </w:r>
          </w:p>
        </w:tc>
        <w:tc>
          <w:tcPr>
            <w:tcW w:w="2531"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b/>
                <w:szCs w:val="21"/>
              </w:rPr>
            </w:pPr>
            <w:r>
              <w:rPr>
                <w:rFonts w:hint="eastAsia" w:ascii="宋体" w:hAnsi="宋体"/>
                <w:b/>
                <w:szCs w:val="21"/>
              </w:rPr>
              <w:t>标准编号</w:t>
            </w:r>
          </w:p>
        </w:tc>
        <w:tc>
          <w:tcPr>
            <w:tcW w:w="3388"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b/>
                <w:szCs w:val="21"/>
              </w:rPr>
            </w:pPr>
            <w:r>
              <w:rPr>
                <w:rFonts w:hint="eastAsia" w:ascii="宋体" w:hAnsi="宋体"/>
                <w:b/>
                <w:szCs w:val="21"/>
              </w:rPr>
              <w:t>标准名称</w:t>
            </w:r>
          </w:p>
        </w:tc>
        <w:tc>
          <w:tcPr>
            <w:tcW w:w="4884"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b/>
                <w:szCs w:val="21"/>
              </w:rPr>
            </w:pPr>
            <w:r>
              <w:rPr>
                <w:rFonts w:hint="eastAsia" w:ascii="宋体" w:hAnsi="宋体"/>
                <w:b/>
                <w:szCs w:val="21"/>
              </w:rPr>
              <w:t>标准内容</w:t>
            </w:r>
          </w:p>
        </w:tc>
        <w:tc>
          <w:tcPr>
            <w:tcW w:w="2673" w:type="dxa"/>
            <w:tcBorders>
              <w:top w:val="single" w:color="auto" w:sz="4" w:space="0"/>
              <w:left w:val="nil"/>
              <w:bottom w:val="single" w:color="auto" w:sz="4" w:space="0"/>
              <w:right w:val="single" w:color="auto" w:sz="4" w:space="0"/>
            </w:tcBorders>
            <w:shd w:val="clear" w:color="auto" w:fill="FFFFFF"/>
            <w:vAlign w:val="center"/>
          </w:tcPr>
          <w:p>
            <w:pPr>
              <w:widowControl/>
              <w:jc w:val="center"/>
              <w:rPr>
                <w:rFonts w:ascii="宋体"/>
                <w:b/>
                <w:szCs w:val="21"/>
              </w:rPr>
            </w:pPr>
            <w:r>
              <w:rPr>
                <w:rFonts w:hint="eastAsia" w:ascii="宋体" w:hAnsi="宋体"/>
                <w:b/>
                <w:szCs w:val="21"/>
              </w:rPr>
              <w:t>废止理由</w:t>
            </w:r>
          </w:p>
        </w:tc>
      </w:tr>
      <w:tr>
        <w:tblPrEx>
          <w:tblLayout w:type="fixed"/>
          <w:tblCellMar>
            <w:top w:w="0" w:type="dxa"/>
            <w:left w:w="108" w:type="dxa"/>
            <w:bottom w:w="0" w:type="dxa"/>
            <w:right w:w="108" w:type="dxa"/>
          </w:tblCellMar>
        </w:tblPrEx>
        <w:trPr>
          <w:cantSplit/>
        </w:trPr>
        <w:tc>
          <w:tcPr>
            <w:tcW w:w="698"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rPr>
                <w:rFonts w:ascii="宋体" w:hAnsi="宋体"/>
                <w:szCs w:val="21"/>
              </w:rPr>
            </w:pPr>
            <w:r>
              <w:rPr>
                <w:rFonts w:ascii="宋体" w:hAnsi="宋体"/>
                <w:szCs w:val="21"/>
              </w:rPr>
              <w:t>1</w:t>
            </w:r>
          </w:p>
        </w:tc>
        <w:tc>
          <w:tcPr>
            <w:tcW w:w="2531"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hAnsi="宋体"/>
                <w:szCs w:val="21"/>
              </w:rPr>
            </w:pPr>
            <w:r>
              <w:rPr>
                <w:rFonts w:ascii="宋体" w:hAnsi="宋体"/>
                <w:szCs w:val="21"/>
              </w:rPr>
              <w:t>GY/T l13-1993</w:t>
            </w:r>
          </w:p>
        </w:tc>
        <w:tc>
          <w:tcPr>
            <w:tcW w:w="3388"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szCs w:val="21"/>
              </w:rPr>
            </w:pPr>
            <w:r>
              <w:rPr>
                <w:rFonts w:hint="eastAsia" w:ascii="宋体" w:hAnsi="宋体"/>
                <w:szCs w:val="21"/>
              </w:rPr>
              <w:t>中波及调频、电视发射台微机实时控制功能规范</w:t>
            </w:r>
          </w:p>
        </w:tc>
        <w:tc>
          <w:tcPr>
            <w:tcW w:w="4884"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szCs w:val="21"/>
              </w:rPr>
            </w:pPr>
            <w:r>
              <w:rPr>
                <w:rFonts w:hint="eastAsia" w:ascii="宋体" w:hAnsi="宋体"/>
                <w:szCs w:val="21"/>
              </w:rPr>
              <w:t>规定了采用微型计算机控制发射机，实现发射台自动化，达到“无人值班、有人留守”的目的；为建立实时控制网、数据传输网及综合管理系统准备条件的功能规范。</w:t>
            </w:r>
          </w:p>
        </w:tc>
        <w:tc>
          <w:tcPr>
            <w:tcW w:w="2673"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szCs w:val="21"/>
              </w:rPr>
            </w:pPr>
            <w:r>
              <w:rPr>
                <w:rFonts w:hint="eastAsia" w:ascii="宋体" w:hAnsi="宋体" w:cs="宋体"/>
                <w:bCs/>
                <w:szCs w:val="21"/>
              </w:rPr>
              <w:t>技术过时落后</w:t>
            </w:r>
          </w:p>
        </w:tc>
      </w:tr>
      <w:tr>
        <w:tblPrEx>
          <w:tblLayout w:type="fixed"/>
          <w:tblCellMar>
            <w:top w:w="0" w:type="dxa"/>
            <w:left w:w="108" w:type="dxa"/>
            <w:bottom w:w="0" w:type="dxa"/>
            <w:right w:w="108" w:type="dxa"/>
          </w:tblCellMar>
        </w:tblPrEx>
        <w:trPr>
          <w:cantSplit/>
        </w:trPr>
        <w:tc>
          <w:tcPr>
            <w:tcW w:w="698"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rPr>
                <w:rFonts w:ascii="宋体" w:hAnsi="宋体"/>
                <w:szCs w:val="21"/>
              </w:rPr>
            </w:pPr>
            <w:r>
              <w:rPr>
                <w:rFonts w:ascii="宋体" w:hAnsi="宋体"/>
                <w:szCs w:val="21"/>
              </w:rPr>
              <w:t>2</w:t>
            </w:r>
          </w:p>
        </w:tc>
        <w:tc>
          <w:tcPr>
            <w:tcW w:w="2531"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hAnsi="宋体"/>
                <w:szCs w:val="21"/>
              </w:rPr>
            </w:pPr>
            <w:r>
              <w:rPr>
                <w:rFonts w:ascii="宋体" w:hAnsi="宋体"/>
                <w:szCs w:val="21"/>
              </w:rPr>
              <w:t>GB/T 12449-1990</w:t>
            </w:r>
          </w:p>
        </w:tc>
        <w:tc>
          <w:tcPr>
            <w:tcW w:w="3388"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szCs w:val="21"/>
              </w:rPr>
            </w:pPr>
            <w:r>
              <w:rPr>
                <w:rFonts w:hint="eastAsia" w:ascii="宋体" w:hAnsi="宋体"/>
                <w:szCs w:val="21"/>
              </w:rPr>
              <w:t>以专用连接线方式互连的声音和电视广播发射设备与监控设备之间的接口</w:t>
            </w:r>
          </w:p>
        </w:tc>
        <w:tc>
          <w:tcPr>
            <w:tcW w:w="4884"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szCs w:val="21"/>
              </w:rPr>
            </w:pPr>
            <w:r>
              <w:rPr>
                <w:rFonts w:hint="eastAsia" w:ascii="宋体" w:hAnsi="宋体"/>
                <w:szCs w:val="21"/>
              </w:rPr>
              <w:t>规定了声音和电视广播发射设备系统与监控设备之间用专用连接线方式连接时的借口特性和要求。</w:t>
            </w:r>
          </w:p>
        </w:tc>
        <w:tc>
          <w:tcPr>
            <w:tcW w:w="2673"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szCs w:val="21"/>
              </w:rPr>
            </w:pPr>
            <w:r>
              <w:rPr>
                <w:rFonts w:hint="eastAsia" w:ascii="宋体" w:hAnsi="宋体"/>
                <w:szCs w:val="21"/>
              </w:rPr>
              <w:t>目前已无专用连接线方式，标准接口在</w:t>
            </w:r>
            <w:r>
              <w:rPr>
                <w:rFonts w:ascii="宋体" w:hAnsi="宋体"/>
                <w:szCs w:val="21"/>
              </w:rPr>
              <w:t>GY/T 290-2015</w:t>
            </w:r>
            <w:r>
              <w:rPr>
                <w:rFonts w:hint="eastAsia" w:ascii="宋体" w:hAnsi="宋体"/>
                <w:szCs w:val="21"/>
              </w:rPr>
              <w:t>进一步规范</w:t>
            </w:r>
          </w:p>
        </w:tc>
      </w:tr>
      <w:tr>
        <w:tblPrEx>
          <w:tblLayout w:type="fixed"/>
          <w:tblCellMar>
            <w:top w:w="0" w:type="dxa"/>
            <w:left w:w="108" w:type="dxa"/>
            <w:bottom w:w="0" w:type="dxa"/>
            <w:right w:w="108" w:type="dxa"/>
          </w:tblCellMar>
        </w:tblPrEx>
        <w:trPr>
          <w:cantSplit/>
        </w:trPr>
        <w:tc>
          <w:tcPr>
            <w:tcW w:w="698"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rPr>
                <w:rFonts w:ascii="宋体" w:hAnsi="宋体"/>
                <w:szCs w:val="21"/>
              </w:rPr>
            </w:pPr>
            <w:r>
              <w:rPr>
                <w:rFonts w:ascii="宋体" w:hAnsi="宋体"/>
                <w:szCs w:val="21"/>
              </w:rPr>
              <w:t>3</w:t>
            </w:r>
          </w:p>
        </w:tc>
        <w:tc>
          <w:tcPr>
            <w:tcW w:w="2531"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hAnsi="宋体"/>
                <w:szCs w:val="21"/>
              </w:rPr>
            </w:pPr>
            <w:r>
              <w:rPr>
                <w:rFonts w:ascii="宋体" w:hAnsi="宋体"/>
                <w:szCs w:val="21"/>
              </w:rPr>
              <w:t>GB/T 14435.2-1993</w:t>
            </w:r>
          </w:p>
        </w:tc>
        <w:tc>
          <w:tcPr>
            <w:tcW w:w="3388"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szCs w:val="21"/>
              </w:rPr>
            </w:pPr>
            <w:r>
              <w:rPr>
                <w:rFonts w:hint="eastAsia" w:ascii="宋体" w:hAnsi="宋体"/>
                <w:szCs w:val="21"/>
              </w:rPr>
              <w:t>卫星广播业务和地面业务间的频率共用</w:t>
            </w:r>
            <w:r>
              <w:rPr>
                <w:rFonts w:ascii="宋体" w:hAnsi="宋体"/>
                <w:szCs w:val="21"/>
              </w:rPr>
              <w:t>620</w:t>
            </w:r>
            <w:r>
              <w:rPr>
                <w:rFonts w:hint="eastAsia" w:ascii="宋体" w:hAnsi="宋体"/>
                <w:szCs w:val="21"/>
              </w:rPr>
              <w:t>～</w:t>
            </w:r>
            <w:r>
              <w:rPr>
                <w:rFonts w:ascii="宋体" w:hAnsi="宋体"/>
                <w:szCs w:val="21"/>
              </w:rPr>
              <w:t>790MHz</w:t>
            </w:r>
            <w:r>
              <w:rPr>
                <w:rFonts w:hint="eastAsia" w:ascii="宋体" w:hAnsi="宋体"/>
                <w:szCs w:val="21"/>
              </w:rPr>
              <w:t>卫星广播业务</w:t>
            </w:r>
            <w:r>
              <w:rPr>
                <w:rFonts w:ascii="宋体" w:hAnsi="宋体"/>
                <w:szCs w:val="21"/>
              </w:rPr>
              <w:t>(</w:t>
            </w:r>
            <w:r>
              <w:rPr>
                <w:rFonts w:hint="eastAsia" w:ascii="宋体" w:hAnsi="宋体"/>
                <w:szCs w:val="21"/>
              </w:rPr>
              <w:t>电视</w:t>
            </w:r>
            <w:r>
              <w:rPr>
                <w:rFonts w:ascii="宋体" w:hAnsi="宋体"/>
                <w:szCs w:val="21"/>
              </w:rPr>
              <w:t>)</w:t>
            </w:r>
            <w:r>
              <w:rPr>
                <w:rFonts w:hint="eastAsia" w:ascii="宋体" w:hAnsi="宋体"/>
                <w:szCs w:val="21"/>
              </w:rPr>
              <w:t>和地面广播业务</w:t>
            </w:r>
            <w:r>
              <w:rPr>
                <w:rFonts w:ascii="宋体" w:hAnsi="宋体"/>
                <w:szCs w:val="21"/>
              </w:rPr>
              <w:t>(</w:t>
            </w:r>
            <w:r>
              <w:rPr>
                <w:rFonts w:hint="eastAsia" w:ascii="宋体" w:hAnsi="宋体"/>
                <w:szCs w:val="21"/>
              </w:rPr>
              <w:t>电视</w:t>
            </w:r>
            <w:r>
              <w:rPr>
                <w:rFonts w:ascii="宋体" w:hAnsi="宋体"/>
                <w:szCs w:val="21"/>
              </w:rPr>
              <w:t>)</w:t>
            </w:r>
            <w:r>
              <w:rPr>
                <w:rFonts w:hint="eastAsia" w:ascii="宋体" w:hAnsi="宋体"/>
                <w:szCs w:val="21"/>
              </w:rPr>
              <w:t>间的频率共用</w:t>
            </w:r>
          </w:p>
        </w:tc>
        <w:tc>
          <w:tcPr>
            <w:tcW w:w="4884"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szCs w:val="21"/>
              </w:rPr>
            </w:pPr>
            <w:r>
              <w:rPr>
                <w:rFonts w:hint="eastAsia" w:ascii="宋体" w:hAnsi="宋体"/>
                <w:szCs w:val="21"/>
              </w:rPr>
              <w:t>规定了卫星广播业务（电视）和地面广播业务（电视）间的共用条件和方法。</w:t>
            </w:r>
          </w:p>
        </w:tc>
        <w:tc>
          <w:tcPr>
            <w:tcW w:w="2673"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szCs w:val="21"/>
              </w:rPr>
            </w:pPr>
            <w:r>
              <w:rPr>
                <w:rFonts w:ascii="宋体" w:hAnsi="宋体"/>
                <w:szCs w:val="21"/>
              </w:rPr>
              <w:t>2003</w:t>
            </w:r>
            <w:r>
              <w:rPr>
                <w:rFonts w:hint="eastAsia" w:ascii="宋体" w:hAnsi="宋体"/>
                <w:szCs w:val="21"/>
              </w:rPr>
              <w:t>年</w:t>
            </w:r>
            <w:r>
              <w:rPr>
                <w:rFonts w:ascii="宋体" w:hAnsi="宋体"/>
                <w:szCs w:val="21"/>
              </w:rPr>
              <w:t>ITU</w:t>
            </w:r>
            <w:r>
              <w:rPr>
                <w:rFonts w:hint="eastAsia" w:ascii="宋体" w:hAnsi="宋体"/>
                <w:szCs w:val="21"/>
              </w:rPr>
              <w:t>取消了卫星广播业务</w:t>
            </w:r>
            <w:r>
              <w:rPr>
                <w:rFonts w:ascii="宋体" w:hAnsi="宋体"/>
                <w:szCs w:val="21"/>
              </w:rPr>
              <w:t>620-790MHz</w:t>
            </w:r>
            <w:r>
              <w:rPr>
                <w:rFonts w:hint="eastAsia" w:ascii="宋体" w:hAnsi="宋体"/>
                <w:szCs w:val="21"/>
              </w:rPr>
              <w:t>的频段划分，不存在频率共用问题</w:t>
            </w:r>
          </w:p>
        </w:tc>
      </w:tr>
      <w:tr>
        <w:tblPrEx>
          <w:tblLayout w:type="fixed"/>
          <w:tblCellMar>
            <w:top w:w="0" w:type="dxa"/>
            <w:left w:w="108" w:type="dxa"/>
            <w:bottom w:w="0" w:type="dxa"/>
            <w:right w:w="108" w:type="dxa"/>
          </w:tblCellMar>
        </w:tblPrEx>
        <w:trPr>
          <w:cantSplit/>
        </w:trPr>
        <w:tc>
          <w:tcPr>
            <w:tcW w:w="698"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rPr>
                <w:rFonts w:ascii="宋体" w:hAnsi="宋体"/>
                <w:szCs w:val="21"/>
              </w:rPr>
            </w:pPr>
            <w:r>
              <w:rPr>
                <w:rFonts w:ascii="宋体" w:hAnsi="宋体"/>
                <w:szCs w:val="21"/>
              </w:rPr>
              <w:t>4</w:t>
            </w:r>
          </w:p>
        </w:tc>
        <w:tc>
          <w:tcPr>
            <w:tcW w:w="2531"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hAnsi="宋体"/>
                <w:szCs w:val="21"/>
              </w:rPr>
            </w:pPr>
            <w:r>
              <w:rPr>
                <w:rFonts w:ascii="宋体" w:hAnsi="宋体"/>
                <w:szCs w:val="21"/>
              </w:rPr>
              <w:t xml:space="preserve">GB/T 14435.3-1993 </w:t>
            </w:r>
          </w:p>
        </w:tc>
        <w:tc>
          <w:tcPr>
            <w:tcW w:w="3388"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szCs w:val="21"/>
              </w:rPr>
            </w:pPr>
            <w:r>
              <w:rPr>
                <w:rFonts w:hint="eastAsia" w:ascii="宋体" w:hAnsi="宋体"/>
                <w:szCs w:val="21"/>
              </w:rPr>
              <w:t>卫星广播业务和地面业务间的频率共用</w:t>
            </w:r>
            <w:r>
              <w:rPr>
                <w:rFonts w:ascii="宋体" w:hAnsi="宋体"/>
                <w:szCs w:val="21"/>
              </w:rPr>
              <w:t xml:space="preserve"> l1.7</w:t>
            </w:r>
            <w:r>
              <w:rPr>
                <w:rFonts w:hint="eastAsia" w:ascii="宋体" w:hAnsi="宋体"/>
                <w:szCs w:val="21"/>
              </w:rPr>
              <w:t>～</w:t>
            </w:r>
            <w:r>
              <w:rPr>
                <w:rFonts w:ascii="宋体" w:hAnsi="宋体"/>
                <w:szCs w:val="21"/>
              </w:rPr>
              <w:t>12.2</w:t>
            </w:r>
            <w:r>
              <w:rPr>
                <w:rFonts w:hint="eastAsia" w:ascii="宋体" w:hAnsi="宋体"/>
                <w:szCs w:val="21"/>
              </w:rPr>
              <w:t>和</w:t>
            </w:r>
            <w:r>
              <w:rPr>
                <w:rFonts w:ascii="宋体" w:hAnsi="宋体"/>
                <w:szCs w:val="21"/>
              </w:rPr>
              <w:t>12.5</w:t>
            </w:r>
            <w:r>
              <w:rPr>
                <w:rFonts w:hint="eastAsia" w:ascii="宋体" w:hAnsi="宋体"/>
                <w:szCs w:val="21"/>
              </w:rPr>
              <w:t>～</w:t>
            </w:r>
            <w:r>
              <w:rPr>
                <w:rFonts w:ascii="宋体" w:hAnsi="宋体"/>
                <w:szCs w:val="21"/>
              </w:rPr>
              <w:t>12.75GHz</w:t>
            </w:r>
            <w:r>
              <w:rPr>
                <w:rFonts w:hint="eastAsia" w:ascii="宋体" w:hAnsi="宋体"/>
                <w:szCs w:val="21"/>
              </w:rPr>
              <w:t>卫星广播业务</w:t>
            </w:r>
            <w:r>
              <w:rPr>
                <w:rFonts w:ascii="宋体" w:hAnsi="宋体"/>
                <w:szCs w:val="21"/>
              </w:rPr>
              <w:t>(</w:t>
            </w:r>
            <w:r>
              <w:rPr>
                <w:rFonts w:hint="eastAsia" w:ascii="宋体" w:hAnsi="宋体"/>
                <w:szCs w:val="21"/>
              </w:rPr>
              <w:t>电视</w:t>
            </w:r>
            <w:r>
              <w:rPr>
                <w:rFonts w:ascii="宋体" w:hAnsi="宋体"/>
                <w:szCs w:val="21"/>
              </w:rPr>
              <w:t>)</w:t>
            </w:r>
            <w:r>
              <w:rPr>
                <w:rFonts w:hint="eastAsia" w:ascii="宋体" w:hAnsi="宋体"/>
                <w:szCs w:val="21"/>
              </w:rPr>
              <w:t>和地面业务</w:t>
            </w:r>
            <w:r>
              <w:rPr>
                <w:rFonts w:ascii="宋体" w:hAnsi="宋体"/>
                <w:szCs w:val="21"/>
              </w:rPr>
              <w:t>(</w:t>
            </w:r>
            <w:r>
              <w:rPr>
                <w:rFonts w:hint="eastAsia" w:ascii="宋体" w:hAnsi="宋体"/>
                <w:szCs w:val="21"/>
              </w:rPr>
              <w:t>电视</w:t>
            </w:r>
            <w:r>
              <w:rPr>
                <w:rFonts w:ascii="宋体" w:hAnsi="宋体"/>
                <w:szCs w:val="21"/>
              </w:rPr>
              <w:t>)</w:t>
            </w:r>
            <w:r>
              <w:rPr>
                <w:rFonts w:hint="eastAsia" w:ascii="宋体" w:hAnsi="宋体"/>
                <w:szCs w:val="21"/>
              </w:rPr>
              <w:t>及地面无线电中继系统间的频率共用</w:t>
            </w:r>
          </w:p>
        </w:tc>
        <w:tc>
          <w:tcPr>
            <w:tcW w:w="4884"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szCs w:val="21"/>
              </w:rPr>
            </w:pPr>
            <w:r>
              <w:rPr>
                <w:rFonts w:hint="eastAsia" w:ascii="宋体" w:hAnsi="宋体"/>
                <w:szCs w:val="21"/>
              </w:rPr>
              <w:t>规定了卫星广播业务（电视）和地面广播业务（电视）及地面无线电中继系统间的频率共用的条件和方法。</w:t>
            </w:r>
          </w:p>
        </w:tc>
        <w:tc>
          <w:tcPr>
            <w:tcW w:w="2673"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szCs w:val="21"/>
              </w:rPr>
            </w:pPr>
            <w:r>
              <w:rPr>
                <w:rFonts w:hint="eastAsia" w:ascii="宋体" w:hAnsi="宋体"/>
                <w:szCs w:val="21"/>
              </w:rPr>
              <w:t>将此标准与</w:t>
            </w:r>
            <w:r>
              <w:rPr>
                <w:rFonts w:ascii="宋体" w:hAnsi="宋体"/>
                <w:szCs w:val="21"/>
              </w:rPr>
              <w:t>GT/T 14435.1-1993</w:t>
            </w:r>
            <w:r>
              <w:rPr>
                <w:rFonts w:hint="eastAsia" w:ascii="宋体" w:hAnsi="宋体"/>
                <w:szCs w:val="21"/>
              </w:rPr>
              <w:t>《卫星广播业务和地面业务间的频率共用</w:t>
            </w:r>
            <w:r>
              <w:rPr>
                <w:rFonts w:ascii="宋体" w:hAnsi="宋体"/>
                <w:szCs w:val="21"/>
              </w:rPr>
              <w:t xml:space="preserve"> </w:t>
            </w:r>
            <w:r>
              <w:rPr>
                <w:rFonts w:hint="eastAsia" w:ascii="宋体" w:hAnsi="宋体"/>
                <w:szCs w:val="21"/>
              </w:rPr>
              <w:t>卫星广播业务（电视）和地面广播业务间的频率公用导则》合并，修订后废止本标准。</w:t>
            </w:r>
          </w:p>
        </w:tc>
      </w:tr>
      <w:tr>
        <w:tblPrEx>
          <w:tblLayout w:type="fixed"/>
          <w:tblCellMar>
            <w:top w:w="0" w:type="dxa"/>
            <w:left w:w="108" w:type="dxa"/>
            <w:bottom w:w="0" w:type="dxa"/>
            <w:right w:w="108" w:type="dxa"/>
          </w:tblCellMar>
        </w:tblPrEx>
        <w:trPr>
          <w:cantSplit/>
        </w:trPr>
        <w:tc>
          <w:tcPr>
            <w:tcW w:w="698"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rPr>
                <w:rFonts w:ascii="宋体" w:hAnsi="宋体"/>
                <w:szCs w:val="21"/>
              </w:rPr>
            </w:pPr>
            <w:r>
              <w:rPr>
                <w:rFonts w:ascii="宋体" w:hAnsi="宋体"/>
                <w:szCs w:val="21"/>
              </w:rPr>
              <w:t>5</w:t>
            </w:r>
          </w:p>
        </w:tc>
        <w:tc>
          <w:tcPr>
            <w:tcW w:w="2531"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hAnsi="宋体"/>
                <w:szCs w:val="21"/>
              </w:rPr>
            </w:pPr>
            <w:r>
              <w:rPr>
                <w:rFonts w:ascii="宋体" w:hAnsi="宋体"/>
                <w:szCs w:val="21"/>
              </w:rPr>
              <w:t xml:space="preserve">GY/T 171-2001 </w:t>
            </w:r>
          </w:p>
        </w:tc>
        <w:tc>
          <w:tcPr>
            <w:tcW w:w="3388"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hAnsi="宋体"/>
                <w:szCs w:val="21"/>
              </w:rPr>
            </w:pPr>
            <w:r>
              <w:rPr>
                <w:rFonts w:hint="eastAsia" w:ascii="宋体" w:hAnsi="宋体"/>
                <w:szCs w:val="21"/>
              </w:rPr>
              <w:t>多路微波分配系统（</w:t>
            </w:r>
            <w:r>
              <w:rPr>
                <w:rFonts w:ascii="宋体" w:hAnsi="宋体"/>
                <w:szCs w:val="21"/>
              </w:rPr>
              <w:t>MMDS</w:t>
            </w:r>
            <w:r>
              <w:rPr>
                <w:rFonts w:hint="eastAsia" w:ascii="宋体" w:hAnsi="宋体"/>
                <w:szCs w:val="21"/>
              </w:rPr>
              <w:t>）发射机技术要求和测量方法</w:t>
            </w:r>
            <w:r>
              <w:rPr>
                <w:rFonts w:ascii="宋体" w:hAnsi="宋体"/>
                <w:szCs w:val="21"/>
              </w:rPr>
              <w:t xml:space="preserve"> </w:t>
            </w:r>
          </w:p>
        </w:tc>
        <w:tc>
          <w:tcPr>
            <w:tcW w:w="4884"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szCs w:val="21"/>
              </w:rPr>
            </w:pPr>
            <w:r>
              <w:rPr>
                <w:rFonts w:hint="eastAsia" w:ascii="宋体" w:hAnsi="宋体"/>
                <w:szCs w:val="21"/>
              </w:rPr>
              <w:t>规定了采用多路微波分配方式、工作在</w:t>
            </w:r>
            <w:r>
              <w:rPr>
                <w:rFonts w:ascii="宋体" w:hAnsi="宋体"/>
                <w:szCs w:val="21"/>
              </w:rPr>
              <w:t>2500MHz</w:t>
            </w:r>
            <w:r>
              <w:rPr>
                <w:rFonts w:hint="eastAsia" w:ascii="宋体" w:hAnsi="宋体"/>
                <w:szCs w:val="21"/>
              </w:rPr>
              <w:t>～</w:t>
            </w:r>
            <w:r>
              <w:rPr>
                <w:rFonts w:ascii="宋体" w:hAnsi="宋体"/>
                <w:szCs w:val="21"/>
              </w:rPr>
              <w:t>2700MHz</w:t>
            </w:r>
            <w:r>
              <w:rPr>
                <w:rFonts w:hint="eastAsia" w:ascii="宋体" w:hAnsi="宋体"/>
                <w:szCs w:val="21"/>
              </w:rPr>
              <w:t>频率范围内的广播电视系统用</w:t>
            </w:r>
            <w:r>
              <w:rPr>
                <w:rFonts w:ascii="宋体" w:hAnsi="宋体"/>
                <w:szCs w:val="21"/>
              </w:rPr>
              <w:t>MMDS</w:t>
            </w:r>
            <w:r>
              <w:rPr>
                <w:rFonts w:hint="eastAsia" w:ascii="宋体" w:hAnsi="宋体"/>
                <w:szCs w:val="21"/>
              </w:rPr>
              <w:t>发射机（单频道）的技术要求和测量方法。对于能够确保同样测量不确定度的任何等效测量方法也可以采用。</w:t>
            </w:r>
          </w:p>
        </w:tc>
        <w:tc>
          <w:tcPr>
            <w:tcW w:w="2673"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szCs w:val="21"/>
              </w:rPr>
            </w:pPr>
            <w:r>
              <w:rPr>
                <w:rFonts w:hint="eastAsia" w:ascii="宋体" w:hAnsi="宋体"/>
                <w:szCs w:val="21"/>
              </w:rPr>
              <w:t>无频率，该业务已取消</w:t>
            </w:r>
          </w:p>
        </w:tc>
      </w:tr>
      <w:tr>
        <w:tblPrEx>
          <w:tblLayout w:type="fixed"/>
          <w:tblCellMar>
            <w:top w:w="0" w:type="dxa"/>
            <w:left w:w="108" w:type="dxa"/>
            <w:bottom w:w="0" w:type="dxa"/>
            <w:right w:w="108" w:type="dxa"/>
          </w:tblCellMar>
        </w:tblPrEx>
        <w:trPr>
          <w:cantSplit/>
        </w:trPr>
        <w:tc>
          <w:tcPr>
            <w:tcW w:w="698"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rPr>
                <w:rFonts w:ascii="宋体" w:hAnsi="宋体"/>
                <w:szCs w:val="21"/>
              </w:rPr>
            </w:pPr>
            <w:r>
              <w:rPr>
                <w:rFonts w:ascii="宋体" w:hAnsi="宋体"/>
                <w:szCs w:val="21"/>
              </w:rPr>
              <w:t>6</w:t>
            </w:r>
          </w:p>
        </w:tc>
        <w:tc>
          <w:tcPr>
            <w:tcW w:w="2531"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hAnsi="宋体"/>
                <w:szCs w:val="21"/>
              </w:rPr>
            </w:pPr>
            <w:r>
              <w:rPr>
                <w:rFonts w:ascii="宋体" w:hAnsi="宋体"/>
                <w:szCs w:val="21"/>
              </w:rPr>
              <w:t xml:space="preserve">GY/T 105-1992 </w:t>
            </w:r>
          </w:p>
        </w:tc>
        <w:tc>
          <w:tcPr>
            <w:tcW w:w="3388"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szCs w:val="21"/>
              </w:rPr>
            </w:pPr>
            <w:r>
              <w:rPr>
                <w:rFonts w:hint="eastAsia" w:ascii="宋体" w:hAnsi="宋体"/>
                <w:szCs w:val="21"/>
              </w:rPr>
              <w:t>广播发射机或广播发射机系统实时监控接口标准</w:t>
            </w:r>
          </w:p>
        </w:tc>
        <w:tc>
          <w:tcPr>
            <w:tcW w:w="4884"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szCs w:val="21"/>
              </w:rPr>
            </w:pPr>
            <w:r>
              <w:rPr>
                <w:rFonts w:hint="eastAsia" w:ascii="宋体" w:hAnsi="宋体"/>
                <w:szCs w:val="21"/>
              </w:rPr>
              <w:t>规定了发射机（或发射机系统）与用于远程监视和</w:t>
            </w:r>
            <w:r>
              <w:rPr>
                <w:rFonts w:ascii="宋体" w:hAnsi="宋体"/>
                <w:szCs w:val="21"/>
              </w:rPr>
              <w:t>/</w:t>
            </w:r>
            <w:r>
              <w:rPr>
                <w:rFonts w:hint="eastAsia" w:ascii="宋体" w:hAnsi="宋体"/>
                <w:szCs w:val="21"/>
              </w:rPr>
              <w:t>或控制发射机（或发射机系统）的监、控设备之间的接口。它详细叙述了互连方法及监控装置，目的是为了使不同型号及制造厂的发射机与监控设备之间能互相兼容。</w:t>
            </w:r>
          </w:p>
        </w:tc>
        <w:tc>
          <w:tcPr>
            <w:tcW w:w="2673"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szCs w:val="21"/>
              </w:rPr>
            </w:pPr>
            <w:r>
              <w:rPr>
                <w:rFonts w:hint="eastAsia" w:ascii="宋体" w:hAnsi="宋体" w:cs="宋体"/>
                <w:bCs/>
                <w:szCs w:val="21"/>
              </w:rPr>
              <w:t>技术过时落后</w:t>
            </w:r>
          </w:p>
        </w:tc>
      </w:tr>
      <w:tr>
        <w:tblPrEx>
          <w:tblLayout w:type="fixed"/>
          <w:tblCellMar>
            <w:top w:w="0" w:type="dxa"/>
            <w:left w:w="108" w:type="dxa"/>
            <w:bottom w:w="0" w:type="dxa"/>
            <w:right w:w="108" w:type="dxa"/>
          </w:tblCellMar>
        </w:tblPrEx>
        <w:trPr>
          <w:cantSplit/>
        </w:trPr>
        <w:tc>
          <w:tcPr>
            <w:tcW w:w="698"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rPr>
                <w:rFonts w:ascii="宋体" w:hAnsi="宋体"/>
                <w:szCs w:val="21"/>
              </w:rPr>
            </w:pPr>
            <w:r>
              <w:rPr>
                <w:rFonts w:ascii="宋体" w:hAnsi="宋体"/>
                <w:szCs w:val="21"/>
              </w:rPr>
              <w:t>7</w:t>
            </w:r>
          </w:p>
        </w:tc>
        <w:tc>
          <w:tcPr>
            <w:tcW w:w="2531"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hAnsi="宋体"/>
                <w:szCs w:val="21"/>
              </w:rPr>
            </w:pPr>
            <w:r>
              <w:rPr>
                <w:rFonts w:ascii="宋体" w:hAnsi="宋体"/>
                <w:szCs w:val="21"/>
              </w:rPr>
              <w:t xml:space="preserve">GY/T 4-1982 </w:t>
            </w:r>
          </w:p>
        </w:tc>
        <w:tc>
          <w:tcPr>
            <w:tcW w:w="3388"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szCs w:val="21"/>
              </w:rPr>
            </w:pPr>
            <w:r>
              <w:rPr>
                <w:rFonts w:hint="eastAsia" w:ascii="宋体" w:hAnsi="宋体"/>
                <w:szCs w:val="21"/>
              </w:rPr>
              <w:t>广播电视专用微波接力电路传输体制</w:t>
            </w:r>
          </w:p>
        </w:tc>
        <w:tc>
          <w:tcPr>
            <w:tcW w:w="4884"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szCs w:val="21"/>
              </w:rPr>
            </w:pPr>
            <w:r>
              <w:rPr>
                <w:rFonts w:hint="eastAsia" w:ascii="宋体" w:hAnsi="宋体"/>
                <w:szCs w:val="21"/>
              </w:rPr>
              <w:t>规定了广播电视专用微波接力电路传输的工作频段、基带组成以及中频、视频和音频的技术指标。</w:t>
            </w:r>
          </w:p>
        </w:tc>
        <w:tc>
          <w:tcPr>
            <w:tcW w:w="2673"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szCs w:val="21"/>
              </w:rPr>
            </w:pPr>
            <w:r>
              <w:rPr>
                <w:rFonts w:hint="eastAsia" w:ascii="宋体" w:hAnsi="宋体" w:cs="宋体"/>
                <w:bCs/>
                <w:szCs w:val="21"/>
              </w:rPr>
              <w:t>技术过时落后</w:t>
            </w:r>
          </w:p>
        </w:tc>
      </w:tr>
      <w:tr>
        <w:tblPrEx>
          <w:tblLayout w:type="fixed"/>
          <w:tblCellMar>
            <w:top w:w="0" w:type="dxa"/>
            <w:left w:w="108" w:type="dxa"/>
            <w:bottom w:w="0" w:type="dxa"/>
            <w:right w:w="108" w:type="dxa"/>
          </w:tblCellMar>
        </w:tblPrEx>
        <w:trPr>
          <w:cantSplit/>
        </w:trPr>
        <w:tc>
          <w:tcPr>
            <w:tcW w:w="698"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rPr>
                <w:rFonts w:ascii="宋体" w:hAnsi="宋体"/>
                <w:szCs w:val="21"/>
              </w:rPr>
            </w:pPr>
            <w:r>
              <w:rPr>
                <w:rFonts w:ascii="宋体" w:hAnsi="宋体"/>
                <w:szCs w:val="21"/>
              </w:rPr>
              <w:t>8</w:t>
            </w:r>
          </w:p>
        </w:tc>
        <w:tc>
          <w:tcPr>
            <w:tcW w:w="2531"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hAnsi="宋体"/>
                <w:szCs w:val="21"/>
              </w:rPr>
            </w:pPr>
            <w:r>
              <w:rPr>
                <w:rFonts w:ascii="宋体" w:hAnsi="宋体"/>
                <w:szCs w:val="21"/>
              </w:rPr>
              <w:t xml:space="preserve">GY/T 33-1984 </w:t>
            </w:r>
          </w:p>
        </w:tc>
        <w:tc>
          <w:tcPr>
            <w:tcW w:w="3388"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szCs w:val="21"/>
              </w:rPr>
            </w:pPr>
            <w:r>
              <w:rPr>
                <w:rFonts w:hint="eastAsia" w:ascii="宋体" w:hAnsi="宋体"/>
                <w:szCs w:val="21"/>
              </w:rPr>
              <w:t>转播用调幅广播收音机运行技术指标测量方法</w:t>
            </w:r>
          </w:p>
        </w:tc>
        <w:tc>
          <w:tcPr>
            <w:tcW w:w="4884"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szCs w:val="21"/>
              </w:rPr>
            </w:pPr>
            <w:r>
              <w:rPr>
                <w:rFonts w:hint="eastAsia" w:ascii="宋体" w:hAnsi="宋体"/>
                <w:szCs w:val="21"/>
              </w:rPr>
              <w:t>规定了频率范围为</w:t>
            </w:r>
            <w:r>
              <w:rPr>
                <w:rFonts w:ascii="宋体" w:hAnsi="宋体"/>
                <w:szCs w:val="21"/>
              </w:rPr>
              <w:t>526.5kHz</w:t>
            </w:r>
            <w:r>
              <w:rPr>
                <w:rFonts w:hint="eastAsia" w:ascii="宋体" w:hAnsi="宋体"/>
                <w:szCs w:val="21"/>
              </w:rPr>
              <w:t>－</w:t>
            </w:r>
            <w:r>
              <w:rPr>
                <w:rFonts w:ascii="宋体" w:hAnsi="宋体"/>
                <w:szCs w:val="21"/>
              </w:rPr>
              <w:t>26.1MHz</w:t>
            </w:r>
            <w:r>
              <w:rPr>
                <w:rFonts w:hint="eastAsia" w:ascii="宋体" w:hAnsi="宋体"/>
                <w:szCs w:val="21"/>
              </w:rPr>
              <w:t>调幅广播收音机运行技术指标的测量方法。</w:t>
            </w:r>
          </w:p>
        </w:tc>
        <w:tc>
          <w:tcPr>
            <w:tcW w:w="2673" w:type="dxa"/>
            <w:tcBorders>
              <w:top w:val="single" w:color="auto" w:sz="4" w:space="0"/>
              <w:left w:val="nil"/>
              <w:bottom w:val="single" w:color="auto" w:sz="4" w:space="0"/>
              <w:right w:val="single" w:color="auto" w:sz="4" w:space="0"/>
            </w:tcBorders>
            <w:shd w:val="clear" w:color="auto" w:fill="FFFFFF"/>
            <w:vAlign w:val="center"/>
          </w:tcPr>
          <w:p>
            <w:r>
              <w:rPr>
                <w:rFonts w:hint="eastAsia" w:ascii="宋体" w:hAnsi="宋体" w:cs="宋体"/>
                <w:bCs/>
                <w:szCs w:val="21"/>
              </w:rPr>
              <w:t>技术过时落后</w:t>
            </w:r>
          </w:p>
        </w:tc>
      </w:tr>
      <w:tr>
        <w:tblPrEx>
          <w:tblLayout w:type="fixed"/>
          <w:tblCellMar>
            <w:top w:w="0" w:type="dxa"/>
            <w:left w:w="108" w:type="dxa"/>
            <w:bottom w:w="0" w:type="dxa"/>
            <w:right w:w="108" w:type="dxa"/>
          </w:tblCellMar>
        </w:tblPrEx>
        <w:trPr>
          <w:cantSplit/>
        </w:trPr>
        <w:tc>
          <w:tcPr>
            <w:tcW w:w="698"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rPr>
                <w:rFonts w:ascii="宋体" w:hAnsi="宋体"/>
                <w:szCs w:val="21"/>
              </w:rPr>
            </w:pPr>
            <w:r>
              <w:rPr>
                <w:rFonts w:ascii="宋体" w:hAnsi="宋体"/>
                <w:szCs w:val="21"/>
              </w:rPr>
              <w:t>9</w:t>
            </w:r>
          </w:p>
        </w:tc>
        <w:tc>
          <w:tcPr>
            <w:tcW w:w="2531"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hAnsi="宋体"/>
                <w:szCs w:val="21"/>
              </w:rPr>
            </w:pPr>
            <w:r>
              <w:rPr>
                <w:rFonts w:ascii="宋体" w:hAnsi="宋体"/>
                <w:szCs w:val="21"/>
              </w:rPr>
              <w:t>GY/T 34-1984</w:t>
            </w:r>
          </w:p>
        </w:tc>
        <w:tc>
          <w:tcPr>
            <w:tcW w:w="3388"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szCs w:val="21"/>
              </w:rPr>
            </w:pPr>
            <w:r>
              <w:rPr>
                <w:rFonts w:hint="eastAsia" w:ascii="宋体" w:hAnsi="宋体"/>
                <w:szCs w:val="21"/>
              </w:rPr>
              <w:t>转播用调幅广播收音机运行技术指标等级</w:t>
            </w:r>
          </w:p>
        </w:tc>
        <w:tc>
          <w:tcPr>
            <w:tcW w:w="4884"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szCs w:val="21"/>
              </w:rPr>
            </w:pPr>
            <w:r>
              <w:rPr>
                <w:rFonts w:hint="eastAsia" w:ascii="宋体" w:hAnsi="宋体"/>
                <w:szCs w:val="21"/>
              </w:rPr>
              <w:t>规定了转播用调幅广播收音机运行技术指标等级。</w:t>
            </w:r>
          </w:p>
        </w:tc>
        <w:tc>
          <w:tcPr>
            <w:tcW w:w="2673" w:type="dxa"/>
            <w:tcBorders>
              <w:top w:val="single" w:color="auto" w:sz="4" w:space="0"/>
              <w:left w:val="nil"/>
              <w:bottom w:val="single" w:color="auto" w:sz="4" w:space="0"/>
              <w:right w:val="single" w:color="auto" w:sz="4" w:space="0"/>
            </w:tcBorders>
            <w:shd w:val="clear" w:color="auto" w:fill="FFFFFF"/>
            <w:vAlign w:val="center"/>
          </w:tcPr>
          <w:p>
            <w:r>
              <w:rPr>
                <w:rFonts w:hint="eastAsia" w:ascii="宋体" w:hAnsi="宋体" w:cs="宋体"/>
                <w:bCs/>
                <w:szCs w:val="21"/>
              </w:rPr>
              <w:t>技术过时落后</w:t>
            </w:r>
          </w:p>
        </w:tc>
      </w:tr>
      <w:tr>
        <w:tblPrEx>
          <w:tblLayout w:type="fixed"/>
          <w:tblCellMar>
            <w:top w:w="0" w:type="dxa"/>
            <w:left w:w="108" w:type="dxa"/>
            <w:bottom w:w="0" w:type="dxa"/>
            <w:right w:w="108" w:type="dxa"/>
          </w:tblCellMar>
        </w:tblPrEx>
        <w:trPr>
          <w:cantSplit/>
          <w:trHeight w:val="381" w:hRule="atLeast"/>
        </w:trPr>
        <w:tc>
          <w:tcPr>
            <w:tcW w:w="698"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rPr>
                <w:rFonts w:ascii="宋体" w:hAnsi="宋体"/>
                <w:szCs w:val="21"/>
              </w:rPr>
            </w:pPr>
            <w:r>
              <w:rPr>
                <w:rFonts w:ascii="宋体" w:hAnsi="宋体"/>
                <w:szCs w:val="21"/>
              </w:rPr>
              <w:t>10</w:t>
            </w:r>
          </w:p>
        </w:tc>
        <w:tc>
          <w:tcPr>
            <w:tcW w:w="2531"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hAnsi="宋体"/>
                <w:szCs w:val="21"/>
              </w:rPr>
            </w:pPr>
            <w:r>
              <w:rPr>
                <w:rFonts w:ascii="宋体" w:hAnsi="宋体"/>
                <w:szCs w:val="21"/>
              </w:rPr>
              <w:t xml:space="preserve">GY/T 37-1986 </w:t>
            </w:r>
          </w:p>
        </w:tc>
        <w:tc>
          <w:tcPr>
            <w:tcW w:w="3388"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szCs w:val="21"/>
              </w:rPr>
            </w:pPr>
            <w:r>
              <w:rPr>
                <w:rFonts w:hint="eastAsia" w:ascii="宋体" w:hAnsi="宋体"/>
                <w:szCs w:val="21"/>
              </w:rPr>
              <w:t>调频广播差转机通用技术要求</w:t>
            </w:r>
          </w:p>
        </w:tc>
        <w:tc>
          <w:tcPr>
            <w:tcW w:w="4884"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szCs w:val="21"/>
              </w:rPr>
            </w:pPr>
            <w:r>
              <w:rPr>
                <w:rFonts w:hint="eastAsia" w:ascii="宋体" w:hAnsi="宋体"/>
                <w:szCs w:val="21"/>
              </w:rPr>
              <w:t>规定了频广播差转机性能要求和工作环境。</w:t>
            </w:r>
          </w:p>
        </w:tc>
        <w:tc>
          <w:tcPr>
            <w:tcW w:w="2673" w:type="dxa"/>
            <w:tcBorders>
              <w:top w:val="single" w:color="auto" w:sz="4" w:space="0"/>
              <w:left w:val="nil"/>
              <w:bottom w:val="single" w:color="auto" w:sz="4" w:space="0"/>
              <w:right w:val="single" w:color="auto" w:sz="4" w:space="0"/>
            </w:tcBorders>
            <w:shd w:val="clear" w:color="auto" w:fill="FFFFFF"/>
            <w:vAlign w:val="center"/>
          </w:tcPr>
          <w:p>
            <w:r>
              <w:rPr>
                <w:rFonts w:hint="eastAsia" w:ascii="宋体" w:hAnsi="宋体" w:cs="宋体"/>
                <w:bCs/>
                <w:szCs w:val="21"/>
              </w:rPr>
              <w:t>技术过时落后</w:t>
            </w:r>
          </w:p>
        </w:tc>
      </w:tr>
      <w:tr>
        <w:tblPrEx>
          <w:tblLayout w:type="fixed"/>
          <w:tblCellMar>
            <w:top w:w="0" w:type="dxa"/>
            <w:left w:w="108" w:type="dxa"/>
            <w:bottom w:w="0" w:type="dxa"/>
            <w:right w:w="108" w:type="dxa"/>
          </w:tblCellMar>
        </w:tblPrEx>
        <w:trPr>
          <w:cantSplit/>
        </w:trPr>
        <w:tc>
          <w:tcPr>
            <w:tcW w:w="698"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rPr>
                <w:rFonts w:ascii="宋体" w:hAnsi="宋体"/>
                <w:szCs w:val="21"/>
              </w:rPr>
            </w:pPr>
            <w:r>
              <w:rPr>
                <w:rFonts w:ascii="宋体" w:hAnsi="宋体"/>
                <w:szCs w:val="21"/>
              </w:rPr>
              <w:t>11</w:t>
            </w:r>
          </w:p>
        </w:tc>
        <w:tc>
          <w:tcPr>
            <w:tcW w:w="2531"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hAnsi="宋体"/>
                <w:szCs w:val="21"/>
              </w:rPr>
            </w:pPr>
            <w:r>
              <w:rPr>
                <w:rFonts w:ascii="宋体" w:hAnsi="宋体"/>
                <w:szCs w:val="21"/>
              </w:rPr>
              <w:t xml:space="preserve">GY/T 73-1989 </w:t>
            </w:r>
          </w:p>
        </w:tc>
        <w:tc>
          <w:tcPr>
            <w:tcW w:w="3388"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hAnsi="宋体"/>
                <w:szCs w:val="21"/>
              </w:rPr>
            </w:pPr>
            <w:r>
              <w:rPr>
                <w:rFonts w:hint="eastAsia" w:ascii="宋体" w:hAnsi="宋体"/>
                <w:szCs w:val="21"/>
              </w:rPr>
              <w:t>微波收发信机运行技术指标</w:t>
            </w:r>
            <w:r>
              <w:rPr>
                <w:rFonts w:ascii="宋体" w:hAnsi="宋体"/>
                <w:szCs w:val="21"/>
              </w:rPr>
              <w:t>(</w:t>
            </w:r>
            <w:r>
              <w:rPr>
                <w:rFonts w:hint="eastAsia" w:ascii="宋体" w:hAnsi="宋体"/>
                <w:szCs w:val="21"/>
              </w:rPr>
              <w:t>声音广播</w:t>
            </w:r>
            <w:r>
              <w:rPr>
                <w:rFonts w:ascii="宋体" w:hAnsi="宋体"/>
                <w:szCs w:val="21"/>
              </w:rPr>
              <w:t>)</w:t>
            </w:r>
          </w:p>
        </w:tc>
        <w:tc>
          <w:tcPr>
            <w:tcW w:w="4884"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szCs w:val="21"/>
              </w:rPr>
            </w:pPr>
            <w:r>
              <w:rPr>
                <w:rFonts w:hint="eastAsia" w:ascii="宋体" w:hAnsi="宋体"/>
                <w:szCs w:val="21"/>
              </w:rPr>
              <w:t>规定了微波收发信机在声音广播的运行技术指标。</w:t>
            </w:r>
          </w:p>
        </w:tc>
        <w:tc>
          <w:tcPr>
            <w:tcW w:w="2673" w:type="dxa"/>
            <w:tcBorders>
              <w:top w:val="single" w:color="auto" w:sz="4" w:space="0"/>
              <w:left w:val="nil"/>
              <w:bottom w:val="single" w:color="auto" w:sz="4" w:space="0"/>
              <w:right w:val="single" w:color="auto" w:sz="4" w:space="0"/>
            </w:tcBorders>
            <w:shd w:val="clear" w:color="auto" w:fill="FFFFFF"/>
            <w:vAlign w:val="center"/>
          </w:tcPr>
          <w:p>
            <w:r>
              <w:rPr>
                <w:rFonts w:hint="eastAsia" w:ascii="宋体" w:hAnsi="宋体" w:cs="宋体"/>
                <w:bCs/>
                <w:szCs w:val="21"/>
              </w:rPr>
              <w:t>技术过时落后</w:t>
            </w:r>
          </w:p>
        </w:tc>
      </w:tr>
      <w:tr>
        <w:tblPrEx>
          <w:tblLayout w:type="fixed"/>
          <w:tblCellMar>
            <w:top w:w="0" w:type="dxa"/>
            <w:left w:w="108" w:type="dxa"/>
            <w:bottom w:w="0" w:type="dxa"/>
            <w:right w:w="108" w:type="dxa"/>
          </w:tblCellMar>
        </w:tblPrEx>
        <w:trPr>
          <w:cantSplit/>
        </w:trPr>
        <w:tc>
          <w:tcPr>
            <w:tcW w:w="698"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rPr>
                <w:rFonts w:ascii="宋体" w:hAnsi="宋体"/>
                <w:szCs w:val="21"/>
              </w:rPr>
            </w:pPr>
            <w:r>
              <w:rPr>
                <w:rFonts w:ascii="宋体" w:hAnsi="宋体"/>
                <w:szCs w:val="21"/>
              </w:rPr>
              <w:t>12</w:t>
            </w:r>
          </w:p>
        </w:tc>
        <w:tc>
          <w:tcPr>
            <w:tcW w:w="2531"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hAnsi="宋体"/>
                <w:szCs w:val="21"/>
              </w:rPr>
            </w:pPr>
            <w:r>
              <w:rPr>
                <w:rFonts w:ascii="宋体" w:hAnsi="宋体"/>
                <w:szCs w:val="21"/>
              </w:rPr>
              <w:t xml:space="preserve">GY/T 88-1985 </w:t>
            </w:r>
          </w:p>
        </w:tc>
        <w:tc>
          <w:tcPr>
            <w:tcW w:w="3388"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szCs w:val="21"/>
              </w:rPr>
            </w:pPr>
            <w:r>
              <w:rPr>
                <w:rFonts w:hint="eastAsia" w:ascii="宋体" w:hAnsi="宋体"/>
                <w:szCs w:val="21"/>
              </w:rPr>
              <w:t>电视节目短距离微波传送技术要求</w:t>
            </w:r>
          </w:p>
        </w:tc>
        <w:tc>
          <w:tcPr>
            <w:tcW w:w="4884"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szCs w:val="21"/>
              </w:rPr>
            </w:pPr>
            <w:r>
              <w:rPr>
                <w:rFonts w:hint="eastAsia" w:ascii="宋体" w:hAnsi="宋体"/>
                <w:szCs w:val="21"/>
              </w:rPr>
              <w:t>规定了电视节目短距离微波传送时视频和伴音主要失真容限。</w:t>
            </w:r>
          </w:p>
        </w:tc>
        <w:tc>
          <w:tcPr>
            <w:tcW w:w="2673"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hAnsi="宋体"/>
                <w:szCs w:val="21"/>
              </w:rPr>
            </w:pPr>
            <w:r>
              <w:rPr>
                <w:rFonts w:hint="eastAsia" w:ascii="宋体" w:hAnsi="宋体"/>
                <w:szCs w:val="21"/>
              </w:rPr>
              <w:t>已有数字标准</w:t>
            </w:r>
            <w:r>
              <w:rPr>
                <w:rFonts w:ascii="宋体" w:hAnsi="宋体"/>
                <w:szCs w:val="21"/>
              </w:rPr>
              <w:t>GY/T 244-2010</w:t>
            </w:r>
          </w:p>
        </w:tc>
      </w:tr>
      <w:tr>
        <w:tblPrEx>
          <w:tblLayout w:type="fixed"/>
          <w:tblCellMar>
            <w:top w:w="0" w:type="dxa"/>
            <w:left w:w="108" w:type="dxa"/>
            <w:bottom w:w="0" w:type="dxa"/>
            <w:right w:w="108" w:type="dxa"/>
          </w:tblCellMar>
        </w:tblPrEx>
        <w:trPr>
          <w:cantSplit/>
        </w:trPr>
        <w:tc>
          <w:tcPr>
            <w:tcW w:w="698"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rPr>
                <w:rFonts w:ascii="宋体" w:hAnsi="宋体"/>
                <w:szCs w:val="21"/>
              </w:rPr>
            </w:pPr>
            <w:r>
              <w:rPr>
                <w:rFonts w:ascii="宋体" w:hAnsi="宋体"/>
                <w:szCs w:val="21"/>
              </w:rPr>
              <w:t>13</w:t>
            </w:r>
          </w:p>
        </w:tc>
        <w:tc>
          <w:tcPr>
            <w:tcW w:w="2531"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hAnsi="宋体"/>
                <w:szCs w:val="21"/>
              </w:rPr>
            </w:pPr>
            <w:r>
              <w:rPr>
                <w:rFonts w:ascii="宋体" w:hAnsi="宋体"/>
                <w:szCs w:val="21"/>
              </w:rPr>
              <w:t xml:space="preserve">GY/T 89-1985 </w:t>
            </w:r>
          </w:p>
        </w:tc>
        <w:tc>
          <w:tcPr>
            <w:tcW w:w="3388"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szCs w:val="21"/>
              </w:rPr>
            </w:pPr>
            <w:r>
              <w:rPr>
                <w:rFonts w:hint="eastAsia" w:ascii="宋体" w:hAnsi="宋体"/>
                <w:szCs w:val="21"/>
              </w:rPr>
              <w:t>电视节目中距离微波传送技术要求</w:t>
            </w:r>
          </w:p>
        </w:tc>
        <w:tc>
          <w:tcPr>
            <w:tcW w:w="4884"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szCs w:val="21"/>
              </w:rPr>
            </w:pPr>
            <w:r>
              <w:rPr>
                <w:rFonts w:hint="eastAsia" w:ascii="宋体" w:hAnsi="宋体"/>
                <w:szCs w:val="21"/>
              </w:rPr>
              <w:t>规定了电视节目中距离微波传送时视频和伴音主要失真容限。</w:t>
            </w:r>
          </w:p>
        </w:tc>
        <w:tc>
          <w:tcPr>
            <w:tcW w:w="2673"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hAnsi="宋体"/>
                <w:szCs w:val="21"/>
              </w:rPr>
            </w:pPr>
            <w:r>
              <w:rPr>
                <w:rFonts w:hint="eastAsia" w:ascii="宋体" w:hAnsi="宋体"/>
                <w:szCs w:val="21"/>
              </w:rPr>
              <w:t>已有数字标准</w:t>
            </w:r>
            <w:r>
              <w:rPr>
                <w:rFonts w:ascii="宋体" w:hAnsi="宋体"/>
                <w:szCs w:val="21"/>
              </w:rPr>
              <w:t>GY/T 244-2010</w:t>
            </w:r>
          </w:p>
        </w:tc>
      </w:tr>
      <w:tr>
        <w:tblPrEx>
          <w:tblLayout w:type="fixed"/>
          <w:tblCellMar>
            <w:top w:w="0" w:type="dxa"/>
            <w:left w:w="108" w:type="dxa"/>
            <w:bottom w:w="0" w:type="dxa"/>
            <w:right w:w="108" w:type="dxa"/>
          </w:tblCellMar>
        </w:tblPrEx>
        <w:trPr>
          <w:cantSplit/>
        </w:trPr>
        <w:tc>
          <w:tcPr>
            <w:tcW w:w="698"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rPr>
                <w:rFonts w:ascii="宋体" w:hAnsi="宋体"/>
                <w:szCs w:val="21"/>
              </w:rPr>
            </w:pPr>
            <w:r>
              <w:rPr>
                <w:rFonts w:ascii="宋体" w:hAnsi="宋体"/>
                <w:szCs w:val="21"/>
              </w:rPr>
              <w:t>14</w:t>
            </w:r>
          </w:p>
        </w:tc>
        <w:tc>
          <w:tcPr>
            <w:tcW w:w="2531"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hAnsi="宋体"/>
                <w:szCs w:val="21"/>
              </w:rPr>
            </w:pPr>
            <w:r>
              <w:rPr>
                <w:rFonts w:ascii="宋体" w:hAnsi="宋体"/>
                <w:szCs w:val="21"/>
              </w:rPr>
              <w:t>GY/T 104-1991</w:t>
            </w:r>
          </w:p>
        </w:tc>
        <w:tc>
          <w:tcPr>
            <w:tcW w:w="3388"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szCs w:val="21"/>
              </w:rPr>
            </w:pPr>
            <w:r>
              <w:rPr>
                <w:rFonts w:hint="eastAsia" w:ascii="宋体" w:hAnsi="宋体"/>
                <w:szCs w:val="21"/>
              </w:rPr>
              <w:t>广播电视微波电路维护管理规程</w:t>
            </w:r>
          </w:p>
        </w:tc>
        <w:tc>
          <w:tcPr>
            <w:tcW w:w="4884"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szCs w:val="21"/>
              </w:rPr>
            </w:pPr>
            <w:r>
              <w:rPr>
                <w:rFonts w:hint="eastAsia" w:ascii="宋体" w:hAnsi="宋体"/>
                <w:szCs w:val="21"/>
              </w:rPr>
              <w:t>规定了各级机构的组成和职责，微波电路的设施的管理以及停（劣）传及事故报表，微波站管理制度，设备维护、技术管理的要求。</w:t>
            </w:r>
          </w:p>
        </w:tc>
        <w:tc>
          <w:tcPr>
            <w:tcW w:w="2673"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hAnsi="宋体"/>
                <w:szCs w:val="21"/>
              </w:rPr>
            </w:pPr>
            <w:r>
              <w:rPr>
                <w:rFonts w:hint="eastAsia" w:ascii="宋体" w:hAnsi="宋体"/>
                <w:szCs w:val="21"/>
              </w:rPr>
              <w:t>已有数字标准</w:t>
            </w:r>
            <w:r>
              <w:rPr>
                <w:rFonts w:ascii="宋体" w:hAnsi="宋体"/>
                <w:szCs w:val="21"/>
              </w:rPr>
              <w:t>GY/T 244-2010</w:t>
            </w:r>
          </w:p>
        </w:tc>
      </w:tr>
      <w:tr>
        <w:tblPrEx>
          <w:tblLayout w:type="fixed"/>
          <w:tblCellMar>
            <w:top w:w="0" w:type="dxa"/>
            <w:left w:w="108" w:type="dxa"/>
            <w:bottom w:w="0" w:type="dxa"/>
            <w:right w:w="108" w:type="dxa"/>
          </w:tblCellMar>
        </w:tblPrEx>
        <w:trPr>
          <w:cantSplit/>
        </w:trPr>
        <w:tc>
          <w:tcPr>
            <w:tcW w:w="698"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rPr>
                <w:rFonts w:ascii="宋体" w:hAnsi="宋体"/>
                <w:szCs w:val="21"/>
              </w:rPr>
            </w:pPr>
            <w:r>
              <w:rPr>
                <w:rFonts w:ascii="宋体" w:hAnsi="宋体"/>
                <w:szCs w:val="21"/>
              </w:rPr>
              <w:t>15</w:t>
            </w:r>
          </w:p>
        </w:tc>
        <w:tc>
          <w:tcPr>
            <w:tcW w:w="2531"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hAnsi="宋体"/>
                <w:szCs w:val="21"/>
              </w:rPr>
            </w:pPr>
            <w:r>
              <w:rPr>
                <w:rFonts w:ascii="宋体" w:hAnsi="宋体"/>
                <w:szCs w:val="21"/>
              </w:rPr>
              <w:t xml:space="preserve">GY/T 132-1998 </w:t>
            </w:r>
          </w:p>
        </w:tc>
        <w:tc>
          <w:tcPr>
            <w:tcW w:w="3388"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szCs w:val="21"/>
              </w:rPr>
            </w:pPr>
            <w:r>
              <w:rPr>
                <w:rFonts w:hint="eastAsia" w:ascii="宋体" w:hAnsi="宋体"/>
                <w:szCs w:val="21"/>
              </w:rPr>
              <w:t>多路微波分配系统技术要求</w:t>
            </w:r>
          </w:p>
        </w:tc>
        <w:tc>
          <w:tcPr>
            <w:tcW w:w="4884"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szCs w:val="21"/>
              </w:rPr>
            </w:pPr>
            <w:r>
              <w:rPr>
                <w:rFonts w:hint="eastAsia" w:ascii="宋体" w:hAnsi="宋体"/>
                <w:szCs w:val="21"/>
              </w:rPr>
              <w:t>规定了多路微波分配系统（</w:t>
            </w:r>
            <w:r>
              <w:rPr>
                <w:rFonts w:ascii="宋体" w:hAnsi="宋体"/>
                <w:szCs w:val="21"/>
              </w:rPr>
              <w:t>MMDS</w:t>
            </w:r>
            <w:r>
              <w:rPr>
                <w:rFonts w:hint="eastAsia" w:ascii="宋体" w:hAnsi="宋体"/>
                <w:szCs w:val="21"/>
              </w:rPr>
              <w:t>）的术语和定义、频道配置、传输方式、技术参数、安全要求和验收规则。</w:t>
            </w:r>
          </w:p>
        </w:tc>
        <w:tc>
          <w:tcPr>
            <w:tcW w:w="2673" w:type="dxa"/>
            <w:tcBorders>
              <w:top w:val="single" w:color="auto" w:sz="4" w:space="0"/>
              <w:left w:val="nil"/>
              <w:bottom w:val="single" w:color="auto" w:sz="4" w:space="0"/>
              <w:right w:val="single" w:color="auto" w:sz="4" w:space="0"/>
            </w:tcBorders>
            <w:shd w:val="clear" w:color="auto" w:fill="FFFFFF"/>
            <w:vAlign w:val="center"/>
          </w:tcPr>
          <w:p>
            <w:r>
              <w:rPr>
                <w:rFonts w:hint="eastAsia" w:ascii="宋体" w:hAnsi="宋体" w:cs="宋体"/>
                <w:bCs/>
                <w:szCs w:val="21"/>
              </w:rPr>
              <w:t>技术过时落后</w:t>
            </w:r>
          </w:p>
        </w:tc>
      </w:tr>
      <w:tr>
        <w:tblPrEx>
          <w:tblLayout w:type="fixed"/>
          <w:tblCellMar>
            <w:top w:w="0" w:type="dxa"/>
            <w:left w:w="108" w:type="dxa"/>
            <w:bottom w:w="0" w:type="dxa"/>
            <w:right w:w="108" w:type="dxa"/>
          </w:tblCellMar>
        </w:tblPrEx>
        <w:trPr>
          <w:cantSplit/>
        </w:trPr>
        <w:tc>
          <w:tcPr>
            <w:tcW w:w="698"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rPr>
                <w:rFonts w:ascii="宋体" w:hAnsi="宋体"/>
                <w:szCs w:val="21"/>
              </w:rPr>
            </w:pPr>
            <w:r>
              <w:rPr>
                <w:rFonts w:ascii="宋体" w:hAnsi="宋体"/>
                <w:szCs w:val="21"/>
              </w:rPr>
              <w:t>16</w:t>
            </w:r>
          </w:p>
        </w:tc>
        <w:tc>
          <w:tcPr>
            <w:tcW w:w="2531"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hAnsi="宋体"/>
                <w:szCs w:val="21"/>
              </w:rPr>
            </w:pPr>
            <w:r>
              <w:rPr>
                <w:rFonts w:ascii="宋体" w:hAnsi="宋体"/>
                <w:szCs w:val="21"/>
              </w:rPr>
              <w:t xml:space="preserve">GY/T 172-2001 </w:t>
            </w:r>
          </w:p>
        </w:tc>
        <w:tc>
          <w:tcPr>
            <w:tcW w:w="3388"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szCs w:val="21"/>
              </w:rPr>
            </w:pPr>
            <w:r>
              <w:rPr>
                <w:rFonts w:hint="eastAsia" w:ascii="宋体" w:hAnsi="宋体"/>
                <w:szCs w:val="21"/>
              </w:rPr>
              <w:t>多路微波分配系统（</w:t>
            </w:r>
            <w:r>
              <w:rPr>
                <w:rFonts w:ascii="宋体" w:hAnsi="宋体"/>
                <w:szCs w:val="21"/>
              </w:rPr>
              <w:t>MMDS</w:t>
            </w:r>
            <w:r>
              <w:rPr>
                <w:rFonts w:hint="eastAsia" w:ascii="宋体" w:hAnsi="宋体"/>
                <w:szCs w:val="21"/>
              </w:rPr>
              <w:t>）接收天线技术要求和测量方法</w:t>
            </w:r>
          </w:p>
        </w:tc>
        <w:tc>
          <w:tcPr>
            <w:tcW w:w="4884"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szCs w:val="21"/>
              </w:rPr>
            </w:pPr>
            <w:r>
              <w:rPr>
                <w:rFonts w:hint="eastAsia" w:ascii="宋体" w:hAnsi="宋体"/>
                <w:szCs w:val="21"/>
              </w:rPr>
              <w:t>规定了采用多路微波分配方式、工作在</w:t>
            </w:r>
            <w:r>
              <w:rPr>
                <w:rFonts w:ascii="宋体" w:hAnsi="宋体"/>
                <w:szCs w:val="21"/>
              </w:rPr>
              <w:t>2500MHz</w:t>
            </w:r>
            <w:r>
              <w:rPr>
                <w:rFonts w:hint="eastAsia" w:ascii="宋体" w:hAnsi="宋体"/>
                <w:szCs w:val="21"/>
              </w:rPr>
              <w:t>～</w:t>
            </w:r>
            <w:r>
              <w:rPr>
                <w:rFonts w:ascii="宋体" w:hAnsi="宋体"/>
                <w:szCs w:val="21"/>
              </w:rPr>
              <w:t>2700MHz</w:t>
            </w:r>
            <w:r>
              <w:rPr>
                <w:rFonts w:hint="eastAsia" w:ascii="宋体" w:hAnsi="宋体"/>
                <w:szCs w:val="21"/>
              </w:rPr>
              <w:t>频率范围内的广播电视系统用</w:t>
            </w:r>
            <w:r>
              <w:rPr>
                <w:rFonts w:ascii="宋体" w:hAnsi="宋体"/>
                <w:szCs w:val="21"/>
              </w:rPr>
              <w:t>MMDS</w:t>
            </w:r>
            <w:r>
              <w:rPr>
                <w:rFonts w:hint="eastAsia" w:ascii="宋体" w:hAnsi="宋体"/>
                <w:szCs w:val="21"/>
              </w:rPr>
              <w:t>接收天线的技术要求和测量方法。对于能够确保同样测量不确定度的任何等效测量方法也可以采用。</w:t>
            </w:r>
          </w:p>
        </w:tc>
        <w:tc>
          <w:tcPr>
            <w:tcW w:w="2673" w:type="dxa"/>
            <w:tcBorders>
              <w:top w:val="single" w:color="auto" w:sz="4" w:space="0"/>
              <w:left w:val="nil"/>
              <w:bottom w:val="single" w:color="auto" w:sz="4" w:space="0"/>
              <w:right w:val="single" w:color="auto" w:sz="4" w:space="0"/>
            </w:tcBorders>
            <w:shd w:val="clear" w:color="auto" w:fill="FFFFFF"/>
            <w:vAlign w:val="center"/>
          </w:tcPr>
          <w:p>
            <w:r>
              <w:rPr>
                <w:rFonts w:hint="eastAsia" w:ascii="宋体" w:hAnsi="宋体" w:cs="宋体"/>
                <w:bCs/>
                <w:szCs w:val="21"/>
              </w:rPr>
              <w:t>技术过时落后</w:t>
            </w:r>
          </w:p>
        </w:tc>
      </w:tr>
      <w:tr>
        <w:tblPrEx>
          <w:tblLayout w:type="fixed"/>
          <w:tblCellMar>
            <w:top w:w="0" w:type="dxa"/>
            <w:left w:w="108" w:type="dxa"/>
            <w:bottom w:w="0" w:type="dxa"/>
            <w:right w:w="108" w:type="dxa"/>
          </w:tblCellMar>
        </w:tblPrEx>
        <w:trPr>
          <w:cantSplit/>
        </w:trPr>
        <w:tc>
          <w:tcPr>
            <w:tcW w:w="698"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rPr>
                <w:rFonts w:ascii="宋体" w:hAnsi="宋体"/>
                <w:szCs w:val="21"/>
              </w:rPr>
            </w:pPr>
            <w:r>
              <w:rPr>
                <w:rFonts w:ascii="宋体" w:hAnsi="宋体"/>
                <w:szCs w:val="21"/>
              </w:rPr>
              <w:t>17</w:t>
            </w:r>
          </w:p>
        </w:tc>
        <w:tc>
          <w:tcPr>
            <w:tcW w:w="2531"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hAnsi="宋体"/>
                <w:szCs w:val="21"/>
              </w:rPr>
            </w:pPr>
            <w:r>
              <w:rPr>
                <w:rFonts w:ascii="宋体" w:hAnsi="宋体"/>
                <w:szCs w:val="21"/>
              </w:rPr>
              <w:t xml:space="preserve">GY/T 173-2001 </w:t>
            </w:r>
          </w:p>
        </w:tc>
        <w:tc>
          <w:tcPr>
            <w:tcW w:w="3388"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szCs w:val="21"/>
              </w:rPr>
            </w:pPr>
            <w:r>
              <w:rPr>
                <w:rFonts w:hint="eastAsia" w:ascii="宋体" w:hAnsi="宋体"/>
                <w:szCs w:val="21"/>
              </w:rPr>
              <w:t>多路微波分配系统（</w:t>
            </w:r>
            <w:r>
              <w:rPr>
                <w:rFonts w:ascii="宋体" w:hAnsi="宋体"/>
                <w:szCs w:val="21"/>
              </w:rPr>
              <w:t>MMDS</w:t>
            </w:r>
            <w:r>
              <w:rPr>
                <w:rFonts w:hint="eastAsia" w:ascii="宋体" w:hAnsi="宋体"/>
                <w:szCs w:val="21"/>
              </w:rPr>
              <w:t>）下变频器技术要求和测量方法</w:t>
            </w:r>
          </w:p>
        </w:tc>
        <w:tc>
          <w:tcPr>
            <w:tcW w:w="4884"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szCs w:val="21"/>
              </w:rPr>
            </w:pPr>
            <w:r>
              <w:rPr>
                <w:rFonts w:hint="eastAsia" w:ascii="宋体" w:hAnsi="宋体"/>
                <w:szCs w:val="21"/>
              </w:rPr>
              <w:t>规定了采用多路微波分配方式、工作在</w:t>
            </w:r>
            <w:r>
              <w:rPr>
                <w:rFonts w:ascii="宋体" w:hAnsi="宋体"/>
                <w:szCs w:val="21"/>
              </w:rPr>
              <w:t>2500MHz</w:t>
            </w:r>
            <w:r>
              <w:rPr>
                <w:rFonts w:hint="eastAsia" w:ascii="宋体" w:hAnsi="宋体"/>
                <w:szCs w:val="21"/>
              </w:rPr>
              <w:t>～</w:t>
            </w:r>
            <w:r>
              <w:rPr>
                <w:rFonts w:ascii="宋体" w:hAnsi="宋体"/>
                <w:szCs w:val="21"/>
              </w:rPr>
              <w:t>2700MHz</w:t>
            </w:r>
            <w:r>
              <w:rPr>
                <w:rFonts w:hint="eastAsia" w:ascii="宋体" w:hAnsi="宋体"/>
                <w:szCs w:val="21"/>
              </w:rPr>
              <w:t>频率范围内的广播电视系统用</w:t>
            </w:r>
            <w:r>
              <w:rPr>
                <w:rFonts w:ascii="宋体" w:hAnsi="宋体"/>
                <w:szCs w:val="21"/>
              </w:rPr>
              <w:t>MMDS</w:t>
            </w:r>
            <w:r>
              <w:rPr>
                <w:rFonts w:hint="eastAsia" w:ascii="宋体" w:hAnsi="宋体"/>
                <w:szCs w:val="21"/>
              </w:rPr>
              <w:t>下变频器的技术要求和测量方法。对于能够确保同样测量不确定度的任何等效测量方法也可以采用。</w:t>
            </w:r>
          </w:p>
        </w:tc>
        <w:tc>
          <w:tcPr>
            <w:tcW w:w="2673" w:type="dxa"/>
            <w:tcBorders>
              <w:top w:val="single" w:color="auto" w:sz="4" w:space="0"/>
              <w:left w:val="nil"/>
              <w:bottom w:val="single" w:color="auto" w:sz="4" w:space="0"/>
              <w:right w:val="single" w:color="auto" w:sz="4" w:space="0"/>
            </w:tcBorders>
            <w:shd w:val="clear" w:color="auto" w:fill="FFFFFF"/>
            <w:vAlign w:val="center"/>
          </w:tcPr>
          <w:p>
            <w:r>
              <w:rPr>
                <w:rFonts w:hint="eastAsia" w:ascii="宋体" w:hAnsi="宋体" w:cs="宋体"/>
                <w:bCs/>
                <w:szCs w:val="21"/>
              </w:rPr>
              <w:t>技术过时落后</w:t>
            </w:r>
          </w:p>
        </w:tc>
      </w:tr>
      <w:tr>
        <w:tblPrEx>
          <w:tblLayout w:type="fixed"/>
          <w:tblCellMar>
            <w:top w:w="0" w:type="dxa"/>
            <w:left w:w="108" w:type="dxa"/>
            <w:bottom w:w="0" w:type="dxa"/>
            <w:right w:w="108" w:type="dxa"/>
          </w:tblCellMar>
        </w:tblPrEx>
        <w:trPr>
          <w:cantSplit/>
        </w:trPr>
        <w:tc>
          <w:tcPr>
            <w:tcW w:w="698"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rPr>
                <w:rFonts w:ascii="宋体" w:hAnsi="宋体"/>
                <w:szCs w:val="21"/>
              </w:rPr>
            </w:pPr>
            <w:r>
              <w:rPr>
                <w:rFonts w:ascii="宋体" w:hAnsi="宋体"/>
                <w:szCs w:val="21"/>
              </w:rPr>
              <w:t>18</w:t>
            </w:r>
          </w:p>
        </w:tc>
        <w:tc>
          <w:tcPr>
            <w:tcW w:w="2531"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hAnsi="宋体"/>
                <w:szCs w:val="21"/>
              </w:rPr>
            </w:pPr>
            <w:r>
              <w:rPr>
                <w:rFonts w:ascii="宋体" w:hAnsi="宋体"/>
                <w:szCs w:val="21"/>
              </w:rPr>
              <w:t>GY/T 128-1995</w:t>
            </w:r>
          </w:p>
        </w:tc>
        <w:tc>
          <w:tcPr>
            <w:tcW w:w="3388"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hAnsi="宋体"/>
                <w:szCs w:val="21"/>
              </w:rPr>
            </w:pPr>
            <w:r>
              <w:rPr>
                <w:rFonts w:hint="eastAsia" w:ascii="宋体" w:hAnsi="宋体"/>
                <w:szCs w:val="21"/>
              </w:rPr>
              <w:t>卫星广播电视地球站维护管理规程</w:t>
            </w:r>
            <w:r>
              <w:rPr>
                <w:rFonts w:ascii="宋体" w:hAnsi="宋体"/>
                <w:szCs w:val="21"/>
              </w:rPr>
              <w:t>(C</w:t>
            </w:r>
            <w:r>
              <w:rPr>
                <w:rFonts w:hint="eastAsia" w:ascii="宋体" w:hAnsi="宋体"/>
                <w:szCs w:val="21"/>
              </w:rPr>
              <w:t>频段</w:t>
            </w:r>
            <w:r>
              <w:rPr>
                <w:rFonts w:ascii="宋体" w:hAnsi="宋体"/>
                <w:szCs w:val="21"/>
              </w:rPr>
              <w:t>)</w:t>
            </w:r>
          </w:p>
        </w:tc>
        <w:tc>
          <w:tcPr>
            <w:tcW w:w="4884"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szCs w:val="21"/>
              </w:rPr>
            </w:pPr>
            <w:r>
              <w:rPr>
                <w:rFonts w:hint="eastAsia" w:ascii="宋体" w:hAnsi="宋体"/>
                <w:szCs w:val="21"/>
              </w:rPr>
              <w:t>规定了卫星广播电视地球站的组成、维护管理任务和要求，系统主要运行技术指标要求、停传事故定义和分类等内容。</w:t>
            </w:r>
          </w:p>
        </w:tc>
        <w:tc>
          <w:tcPr>
            <w:tcW w:w="2673"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hAnsi="宋体"/>
                <w:szCs w:val="21"/>
              </w:rPr>
            </w:pPr>
            <w:r>
              <w:rPr>
                <w:rFonts w:hint="eastAsia" w:ascii="宋体" w:hAnsi="宋体"/>
                <w:szCs w:val="21"/>
              </w:rPr>
              <w:t>已经含在</w:t>
            </w:r>
            <w:r>
              <w:rPr>
                <w:rFonts w:ascii="宋体" w:hAnsi="宋体"/>
                <w:szCs w:val="21"/>
              </w:rPr>
              <w:t>GY/T 182-2002</w:t>
            </w:r>
          </w:p>
        </w:tc>
      </w:tr>
      <w:tr>
        <w:tblPrEx>
          <w:tblLayout w:type="fixed"/>
          <w:tblCellMar>
            <w:top w:w="0" w:type="dxa"/>
            <w:left w:w="108" w:type="dxa"/>
            <w:bottom w:w="0" w:type="dxa"/>
            <w:right w:w="108" w:type="dxa"/>
          </w:tblCellMar>
        </w:tblPrEx>
        <w:trPr>
          <w:cantSplit/>
        </w:trPr>
        <w:tc>
          <w:tcPr>
            <w:tcW w:w="698"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rPr>
                <w:rFonts w:ascii="宋体" w:hAnsi="宋体"/>
                <w:szCs w:val="21"/>
              </w:rPr>
            </w:pPr>
            <w:r>
              <w:rPr>
                <w:rFonts w:ascii="宋体" w:hAnsi="宋体"/>
                <w:szCs w:val="21"/>
              </w:rPr>
              <w:t>19</w:t>
            </w:r>
          </w:p>
        </w:tc>
        <w:tc>
          <w:tcPr>
            <w:tcW w:w="2531"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hAnsi="宋体"/>
                <w:szCs w:val="21"/>
              </w:rPr>
            </w:pPr>
            <w:r>
              <w:rPr>
                <w:rFonts w:ascii="宋体" w:hAnsi="宋体"/>
                <w:szCs w:val="21"/>
              </w:rPr>
              <w:t xml:space="preserve">GY/T 69-1989 </w:t>
            </w:r>
          </w:p>
        </w:tc>
        <w:tc>
          <w:tcPr>
            <w:tcW w:w="3388"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szCs w:val="21"/>
              </w:rPr>
            </w:pPr>
            <w:r>
              <w:rPr>
                <w:rFonts w:hint="eastAsia" w:ascii="宋体" w:hAnsi="宋体"/>
                <w:szCs w:val="21"/>
              </w:rPr>
              <w:t>广播调制机和广播解调机运行技术指标</w:t>
            </w:r>
          </w:p>
        </w:tc>
        <w:tc>
          <w:tcPr>
            <w:tcW w:w="4884"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szCs w:val="21"/>
              </w:rPr>
            </w:pPr>
            <w:r>
              <w:rPr>
                <w:rFonts w:hint="eastAsia" w:ascii="宋体" w:hAnsi="宋体"/>
                <w:szCs w:val="21"/>
              </w:rPr>
              <w:t>　</w:t>
            </w:r>
          </w:p>
        </w:tc>
        <w:tc>
          <w:tcPr>
            <w:tcW w:w="2673" w:type="dxa"/>
            <w:tcBorders>
              <w:top w:val="single" w:color="auto" w:sz="4" w:space="0"/>
              <w:left w:val="nil"/>
              <w:bottom w:val="single" w:color="auto" w:sz="4" w:space="0"/>
              <w:right w:val="single" w:color="auto" w:sz="4" w:space="0"/>
            </w:tcBorders>
            <w:shd w:val="clear" w:color="auto" w:fill="FFFFFF"/>
            <w:vAlign w:val="center"/>
          </w:tcPr>
          <w:p>
            <w:r>
              <w:rPr>
                <w:rFonts w:hint="eastAsia" w:ascii="宋体" w:hAnsi="宋体" w:cs="宋体"/>
                <w:bCs/>
                <w:szCs w:val="21"/>
              </w:rPr>
              <w:t>技术过时落后</w:t>
            </w:r>
          </w:p>
        </w:tc>
      </w:tr>
      <w:tr>
        <w:tblPrEx>
          <w:tblLayout w:type="fixed"/>
          <w:tblCellMar>
            <w:top w:w="0" w:type="dxa"/>
            <w:left w:w="108" w:type="dxa"/>
            <w:bottom w:w="0" w:type="dxa"/>
            <w:right w:w="108" w:type="dxa"/>
          </w:tblCellMar>
        </w:tblPrEx>
        <w:trPr>
          <w:cantSplit/>
        </w:trPr>
        <w:tc>
          <w:tcPr>
            <w:tcW w:w="698"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rPr>
                <w:rFonts w:ascii="宋体" w:hAnsi="宋体"/>
                <w:szCs w:val="21"/>
              </w:rPr>
            </w:pPr>
            <w:r>
              <w:rPr>
                <w:rFonts w:ascii="宋体" w:hAnsi="宋体"/>
                <w:szCs w:val="21"/>
              </w:rPr>
              <w:t>20</w:t>
            </w:r>
          </w:p>
        </w:tc>
        <w:tc>
          <w:tcPr>
            <w:tcW w:w="2531"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hAnsi="宋体"/>
                <w:szCs w:val="21"/>
              </w:rPr>
            </w:pPr>
            <w:r>
              <w:rPr>
                <w:rFonts w:ascii="宋体" w:hAnsi="宋体"/>
                <w:szCs w:val="21"/>
              </w:rPr>
              <w:t xml:space="preserve">GY/T 70-1989 </w:t>
            </w:r>
          </w:p>
        </w:tc>
        <w:tc>
          <w:tcPr>
            <w:tcW w:w="3388"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szCs w:val="21"/>
              </w:rPr>
            </w:pPr>
            <w:r>
              <w:rPr>
                <w:rFonts w:hint="eastAsia" w:ascii="宋体" w:hAnsi="宋体"/>
                <w:szCs w:val="21"/>
              </w:rPr>
              <w:t>广播调制机和广播解调机运行技术指标测量方法</w:t>
            </w:r>
          </w:p>
        </w:tc>
        <w:tc>
          <w:tcPr>
            <w:tcW w:w="4884"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szCs w:val="21"/>
              </w:rPr>
            </w:pPr>
            <w:r>
              <w:rPr>
                <w:rFonts w:hint="eastAsia" w:ascii="宋体" w:hAnsi="宋体"/>
                <w:szCs w:val="21"/>
              </w:rPr>
              <w:t>　</w:t>
            </w:r>
          </w:p>
        </w:tc>
        <w:tc>
          <w:tcPr>
            <w:tcW w:w="2673" w:type="dxa"/>
            <w:tcBorders>
              <w:top w:val="single" w:color="auto" w:sz="4" w:space="0"/>
              <w:left w:val="nil"/>
              <w:bottom w:val="single" w:color="auto" w:sz="4" w:space="0"/>
              <w:right w:val="single" w:color="auto" w:sz="4" w:space="0"/>
            </w:tcBorders>
            <w:shd w:val="clear" w:color="auto" w:fill="FFFFFF"/>
            <w:vAlign w:val="center"/>
          </w:tcPr>
          <w:p>
            <w:r>
              <w:rPr>
                <w:rFonts w:hint="eastAsia" w:ascii="宋体" w:hAnsi="宋体" w:cs="宋体"/>
                <w:bCs/>
                <w:szCs w:val="21"/>
              </w:rPr>
              <w:t>技术过时落后</w:t>
            </w:r>
          </w:p>
        </w:tc>
      </w:tr>
      <w:tr>
        <w:tblPrEx>
          <w:tblLayout w:type="fixed"/>
          <w:tblCellMar>
            <w:top w:w="0" w:type="dxa"/>
            <w:left w:w="108" w:type="dxa"/>
            <w:bottom w:w="0" w:type="dxa"/>
            <w:right w:w="108" w:type="dxa"/>
          </w:tblCellMar>
        </w:tblPrEx>
        <w:trPr>
          <w:cantSplit/>
        </w:trPr>
        <w:tc>
          <w:tcPr>
            <w:tcW w:w="698"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rPr>
                <w:rFonts w:ascii="宋体" w:hAnsi="宋体"/>
                <w:szCs w:val="21"/>
              </w:rPr>
            </w:pPr>
            <w:r>
              <w:rPr>
                <w:rFonts w:ascii="宋体" w:hAnsi="宋体"/>
                <w:szCs w:val="21"/>
              </w:rPr>
              <w:t>21</w:t>
            </w:r>
          </w:p>
        </w:tc>
        <w:tc>
          <w:tcPr>
            <w:tcW w:w="2531"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hAnsi="宋体"/>
                <w:szCs w:val="21"/>
              </w:rPr>
            </w:pPr>
            <w:r>
              <w:rPr>
                <w:rFonts w:ascii="宋体" w:hAnsi="宋体"/>
                <w:szCs w:val="21"/>
              </w:rPr>
              <w:t xml:space="preserve">GY/T l19-1995 </w:t>
            </w:r>
          </w:p>
        </w:tc>
        <w:tc>
          <w:tcPr>
            <w:tcW w:w="3388" w:type="dxa"/>
            <w:tcBorders>
              <w:top w:val="single" w:color="auto" w:sz="4" w:space="0"/>
              <w:left w:val="nil"/>
              <w:bottom w:val="single" w:color="auto" w:sz="4" w:space="0"/>
              <w:right w:val="single" w:color="auto" w:sz="4" w:space="0"/>
            </w:tcBorders>
            <w:shd w:val="clear" w:color="auto" w:fill="FFFFFF"/>
            <w:vAlign w:val="center"/>
          </w:tcPr>
          <w:p>
            <w:pPr>
              <w:widowControl/>
              <w:rPr>
                <w:rFonts w:ascii="宋体"/>
                <w:szCs w:val="21"/>
              </w:rPr>
            </w:pPr>
            <w:r>
              <w:rPr>
                <w:rFonts w:hint="eastAsia" w:ascii="宋体" w:hAnsi="宋体"/>
                <w:szCs w:val="21"/>
              </w:rPr>
              <w:t>广播寻呼接收机入网技术要求及测试方法</w:t>
            </w:r>
          </w:p>
        </w:tc>
        <w:tc>
          <w:tcPr>
            <w:tcW w:w="4884"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szCs w:val="21"/>
              </w:rPr>
            </w:pPr>
            <w:r>
              <w:rPr>
                <w:rFonts w:hint="eastAsia" w:ascii="宋体" w:hAnsi="宋体"/>
                <w:szCs w:val="21"/>
              </w:rPr>
              <w:t>　</w:t>
            </w:r>
          </w:p>
        </w:tc>
        <w:tc>
          <w:tcPr>
            <w:tcW w:w="2673" w:type="dxa"/>
            <w:tcBorders>
              <w:top w:val="single" w:color="auto" w:sz="4" w:space="0"/>
              <w:left w:val="nil"/>
              <w:bottom w:val="single" w:color="auto" w:sz="4" w:space="0"/>
              <w:right w:val="single" w:color="auto" w:sz="4" w:space="0"/>
            </w:tcBorders>
            <w:shd w:val="clear" w:color="auto" w:fill="FFFFFF"/>
            <w:vAlign w:val="center"/>
          </w:tcPr>
          <w:p>
            <w:r>
              <w:rPr>
                <w:rFonts w:hint="eastAsia" w:ascii="宋体" w:hAnsi="宋体" w:cs="宋体"/>
                <w:bCs/>
                <w:szCs w:val="21"/>
              </w:rPr>
              <w:t>技术过时落后</w:t>
            </w:r>
          </w:p>
        </w:tc>
      </w:tr>
      <w:tr>
        <w:tblPrEx>
          <w:tblLayout w:type="fixed"/>
          <w:tblCellMar>
            <w:top w:w="0" w:type="dxa"/>
            <w:left w:w="108" w:type="dxa"/>
            <w:bottom w:w="0" w:type="dxa"/>
            <w:right w:w="108" w:type="dxa"/>
          </w:tblCellMar>
        </w:tblPrEx>
        <w:trPr>
          <w:cantSplit/>
        </w:trPr>
        <w:tc>
          <w:tcPr>
            <w:tcW w:w="698"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rPr>
                <w:rFonts w:ascii="宋体" w:hAnsi="宋体"/>
                <w:szCs w:val="21"/>
              </w:rPr>
            </w:pPr>
            <w:r>
              <w:rPr>
                <w:rFonts w:ascii="宋体" w:hAnsi="宋体"/>
                <w:szCs w:val="21"/>
              </w:rPr>
              <w:t>22</w:t>
            </w:r>
          </w:p>
        </w:tc>
        <w:tc>
          <w:tcPr>
            <w:tcW w:w="2531"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hAnsi="宋体"/>
                <w:szCs w:val="21"/>
              </w:rPr>
            </w:pPr>
            <w:r>
              <w:rPr>
                <w:rFonts w:ascii="宋体" w:hAnsi="宋体"/>
                <w:szCs w:val="21"/>
              </w:rPr>
              <w:t xml:space="preserve">GY/T 146-2000 </w:t>
            </w:r>
          </w:p>
        </w:tc>
        <w:tc>
          <w:tcPr>
            <w:tcW w:w="3388"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szCs w:val="21"/>
              </w:rPr>
            </w:pPr>
            <w:r>
              <w:rPr>
                <w:rFonts w:hint="eastAsia" w:ascii="宋体" w:hAnsi="宋体"/>
                <w:szCs w:val="21"/>
              </w:rPr>
              <w:t>卫星数字电视上行站通用规范</w:t>
            </w:r>
          </w:p>
        </w:tc>
        <w:tc>
          <w:tcPr>
            <w:tcW w:w="4884"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szCs w:val="21"/>
              </w:rPr>
            </w:pPr>
            <w:r>
              <w:rPr>
                <w:rFonts w:hint="eastAsia" w:ascii="宋体" w:hAnsi="宋体"/>
                <w:szCs w:val="21"/>
              </w:rPr>
              <w:t>规定了卫星数字电视上行站的类型、设备的基本组成、基本技术要求。</w:t>
            </w:r>
          </w:p>
        </w:tc>
        <w:tc>
          <w:tcPr>
            <w:tcW w:w="2673"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szCs w:val="21"/>
              </w:rPr>
            </w:pPr>
            <w:r>
              <w:rPr>
                <w:rFonts w:hint="eastAsia" w:ascii="宋体" w:hAnsi="宋体"/>
                <w:szCs w:val="21"/>
              </w:rPr>
              <w:t>待</w:t>
            </w:r>
            <w:r>
              <w:rPr>
                <w:rFonts w:ascii="宋体" w:hAnsi="宋体"/>
                <w:szCs w:val="21"/>
              </w:rPr>
              <w:t>GB/T 16953</w:t>
            </w:r>
            <w:r>
              <w:rPr>
                <w:rFonts w:hint="eastAsia" w:ascii="宋体" w:hAnsi="宋体"/>
                <w:szCs w:val="21"/>
              </w:rPr>
              <w:t>修订后，废止</w:t>
            </w:r>
          </w:p>
        </w:tc>
      </w:tr>
      <w:tr>
        <w:tblPrEx>
          <w:tblLayout w:type="fixed"/>
          <w:tblCellMar>
            <w:top w:w="0" w:type="dxa"/>
            <w:left w:w="108" w:type="dxa"/>
            <w:bottom w:w="0" w:type="dxa"/>
            <w:right w:w="108" w:type="dxa"/>
          </w:tblCellMar>
        </w:tblPrEx>
        <w:trPr>
          <w:cantSplit/>
        </w:trPr>
        <w:tc>
          <w:tcPr>
            <w:tcW w:w="698"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rPr>
                <w:rFonts w:ascii="宋体" w:hAnsi="宋体"/>
                <w:szCs w:val="21"/>
              </w:rPr>
            </w:pPr>
            <w:r>
              <w:rPr>
                <w:rFonts w:ascii="宋体" w:hAnsi="宋体"/>
                <w:szCs w:val="21"/>
              </w:rPr>
              <w:t>23</w:t>
            </w:r>
          </w:p>
        </w:tc>
        <w:tc>
          <w:tcPr>
            <w:tcW w:w="2531"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hAnsi="宋体"/>
                <w:szCs w:val="21"/>
              </w:rPr>
            </w:pPr>
            <w:r>
              <w:rPr>
                <w:rFonts w:ascii="宋体" w:hAnsi="宋体"/>
                <w:szCs w:val="21"/>
              </w:rPr>
              <w:t xml:space="preserve">GY/T 149-2000 </w:t>
            </w:r>
          </w:p>
        </w:tc>
        <w:tc>
          <w:tcPr>
            <w:tcW w:w="3388"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szCs w:val="21"/>
              </w:rPr>
            </w:pPr>
            <w:r>
              <w:rPr>
                <w:rFonts w:hint="eastAsia" w:ascii="宋体" w:hAnsi="宋体"/>
                <w:szCs w:val="21"/>
              </w:rPr>
              <w:t>卫星数字电视接收站测量方法</w:t>
            </w:r>
            <w:r>
              <w:rPr>
                <w:rFonts w:ascii="宋体" w:hAnsi="宋体"/>
                <w:szCs w:val="21"/>
              </w:rPr>
              <w:t>——</w:t>
            </w:r>
            <w:r>
              <w:rPr>
                <w:rFonts w:hint="eastAsia" w:ascii="宋体" w:hAnsi="宋体"/>
                <w:szCs w:val="21"/>
              </w:rPr>
              <w:t>系统测量</w:t>
            </w:r>
          </w:p>
        </w:tc>
        <w:tc>
          <w:tcPr>
            <w:tcW w:w="4884"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szCs w:val="21"/>
              </w:rPr>
            </w:pPr>
            <w:r>
              <w:rPr>
                <w:rFonts w:hint="eastAsia" w:ascii="宋体" w:hAnsi="宋体"/>
                <w:szCs w:val="21"/>
              </w:rPr>
              <w:t>规定了</w:t>
            </w:r>
            <w:r>
              <w:rPr>
                <w:rFonts w:ascii="宋体" w:hAnsi="宋体"/>
                <w:szCs w:val="21"/>
              </w:rPr>
              <w:t>C</w:t>
            </w:r>
            <w:r>
              <w:rPr>
                <w:rFonts w:hint="eastAsia" w:ascii="宋体" w:hAnsi="宋体"/>
                <w:szCs w:val="21"/>
              </w:rPr>
              <w:t>频段卫星数字电视接收站系统测量方法。</w:t>
            </w:r>
          </w:p>
        </w:tc>
        <w:tc>
          <w:tcPr>
            <w:tcW w:w="2673"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szCs w:val="21"/>
              </w:rPr>
            </w:pPr>
            <w:r>
              <w:rPr>
                <w:rFonts w:hint="eastAsia" w:ascii="宋体" w:hAnsi="宋体"/>
                <w:szCs w:val="21"/>
              </w:rPr>
              <w:t>已有相关标准</w:t>
            </w:r>
          </w:p>
        </w:tc>
      </w:tr>
      <w:tr>
        <w:tblPrEx>
          <w:tblLayout w:type="fixed"/>
          <w:tblCellMar>
            <w:top w:w="0" w:type="dxa"/>
            <w:left w:w="108" w:type="dxa"/>
            <w:bottom w:w="0" w:type="dxa"/>
            <w:right w:w="108" w:type="dxa"/>
          </w:tblCellMar>
        </w:tblPrEx>
        <w:trPr>
          <w:cantSplit/>
        </w:trPr>
        <w:tc>
          <w:tcPr>
            <w:tcW w:w="698"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rPr>
                <w:rFonts w:ascii="宋体" w:hAnsi="宋体"/>
                <w:szCs w:val="21"/>
              </w:rPr>
            </w:pPr>
            <w:r>
              <w:rPr>
                <w:rFonts w:ascii="宋体" w:hAnsi="宋体"/>
                <w:szCs w:val="21"/>
              </w:rPr>
              <w:t>24</w:t>
            </w:r>
          </w:p>
        </w:tc>
        <w:tc>
          <w:tcPr>
            <w:tcW w:w="2531"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hAnsi="宋体"/>
                <w:szCs w:val="21"/>
              </w:rPr>
            </w:pPr>
            <w:r>
              <w:rPr>
                <w:rFonts w:ascii="宋体" w:hAnsi="宋体"/>
                <w:szCs w:val="21"/>
              </w:rPr>
              <w:t>GY/T 28-1986</w:t>
            </w:r>
          </w:p>
        </w:tc>
        <w:tc>
          <w:tcPr>
            <w:tcW w:w="3388"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szCs w:val="21"/>
              </w:rPr>
            </w:pPr>
            <w:r>
              <w:rPr>
                <w:rFonts w:hint="eastAsia" w:ascii="宋体" w:hAnsi="宋体"/>
                <w:szCs w:val="21"/>
              </w:rPr>
              <w:t>卫星广播图象质量要求</w:t>
            </w:r>
          </w:p>
        </w:tc>
        <w:tc>
          <w:tcPr>
            <w:tcW w:w="4884"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szCs w:val="21"/>
              </w:rPr>
            </w:pPr>
            <w:r>
              <w:rPr>
                <w:rFonts w:hint="eastAsia" w:ascii="宋体" w:hAnsi="宋体"/>
                <w:szCs w:val="21"/>
              </w:rPr>
              <w:t>规定了卫星广播图像质量等级分类及要求，以及广播图像信号的信杂比要求。</w:t>
            </w:r>
          </w:p>
        </w:tc>
        <w:tc>
          <w:tcPr>
            <w:tcW w:w="2673"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szCs w:val="21"/>
              </w:rPr>
            </w:pPr>
            <w:r>
              <w:rPr>
                <w:rFonts w:hint="eastAsia" w:ascii="宋体" w:hAnsi="宋体"/>
                <w:szCs w:val="21"/>
              </w:rPr>
              <w:t>技术体制已废除</w:t>
            </w:r>
          </w:p>
        </w:tc>
      </w:tr>
      <w:tr>
        <w:tblPrEx>
          <w:tblLayout w:type="fixed"/>
          <w:tblCellMar>
            <w:top w:w="0" w:type="dxa"/>
            <w:left w:w="108" w:type="dxa"/>
            <w:bottom w:w="0" w:type="dxa"/>
            <w:right w:w="108" w:type="dxa"/>
          </w:tblCellMar>
        </w:tblPrEx>
        <w:trPr>
          <w:cantSplit/>
        </w:trPr>
        <w:tc>
          <w:tcPr>
            <w:tcW w:w="698"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rPr>
                <w:rFonts w:ascii="宋体" w:hAnsi="宋体"/>
                <w:szCs w:val="21"/>
              </w:rPr>
            </w:pPr>
            <w:r>
              <w:rPr>
                <w:rFonts w:ascii="宋体" w:hAnsi="宋体"/>
                <w:szCs w:val="21"/>
              </w:rPr>
              <w:t>25</w:t>
            </w:r>
          </w:p>
        </w:tc>
        <w:tc>
          <w:tcPr>
            <w:tcW w:w="2531"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hAnsi="宋体"/>
                <w:szCs w:val="21"/>
              </w:rPr>
            </w:pPr>
            <w:r>
              <w:rPr>
                <w:rFonts w:ascii="宋体" w:hAnsi="宋体"/>
                <w:szCs w:val="21"/>
              </w:rPr>
              <w:t xml:space="preserve">GY/T 71-1989 </w:t>
            </w:r>
          </w:p>
        </w:tc>
        <w:tc>
          <w:tcPr>
            <w:tcW w:w="3388"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szCs w:val="21"/>
              </w:rPr>
            </w:pPr>
            <w:r>
              <w:rPr>
                <w:rFonts w:hint="eastAsia" w:ascii="宋体" w:hAnsi="宋体"/>
                <w:szCs w:val="21"/>
              </w:rPr>
              <w:t>微波、卫星传送广播节目通路运行技术指标等级</w:t>
            </w:r>
          </w:p>
        </w:tc>
        <w:tc>
          <w:tcPr>
            <w:tcW w:w="4884"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szCs w:val="21"/>
              </w:rPr>
            </w:pPr>
            <w:r>
              <w:rPr>
                <w:rFonts w:hint="eastAsia" w:ascii="宋体" w:hAnsi="宋体"/>
                <w:szCs w:val="21"/>
              </w:rPr>
              <w:t>规定了单边带调幅频分多路系统，通过微波、卫星传送声音广播节目的运行技术指标等级。</w:t>
            </w:r>
          </w:p>
        </w:tc>
        <w:tc>
          <w:tcPr>
            <w:tcW w:w="2673" w:type="dxa"/>
            <w:tcBorders>
              <w:top w:val="single" w:color="auto" w:sz="4" w:space="0"/>
              <w:left w:val="nil"/>
              <w:bottom w:val="single" w:color="auto" w:sz="4" w:space="0"/>
              <w:right w:val="single" w:color="auto" w:sz="4" w:space="0"/>
            </w:tcBorders>
            <w:shd w:val="clear" w:color="auto" w:fill="FFFFFF"/>
            <w:vAlign w:val="center"/>
          </w:tcPr>
          <w:p>
            <w:r>
              <w:rPr>
                <w:rFonts w:hint="eastAsia" w:ascii="宋体" w:hAnsi="宋体" w:cs="宋体"/>
                <w:bCs/>
                <w:szCs w:val="21"/>
              </w:rPr>
              <w:t>技术过时落后</w:t>
            </w:r>
          </w:p>
        </w:tc>
      </w:tr>
      <w:tr>
        <w:tblPrEx>
          <w:tblLayout w:type="fixed"/>
          <w:tblCellMar>
            <w:top w:w="0" w:type="dxa"/>
            <w:left w:w="108" w:type="dxa"/>
            <w:bottom w:w="0" w:type="dxa"/>
            <w:right w:w="108" w:type="dxa"/>
          </w:tblCellMar>
        </w:tblPrEx>
        <w:trPr>
          <w:cantSplit/>
        </w:trPr>
        <w:tc>
          <w:tcPr>
            <w:tcW w:w="698"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rPr>
                <w:rFonts w:ascii="宋体" w:hAnsi="宋体"/>
                <w:szCs w:val="21"/>
              </w:rPr>
            </w:pPr>
            <w:r>
              <w:rPr>
                <w:rFonts w:ascii="宋体" w:hAnsi="宋体"/>
                <w:szCs w:val="21"/>
              </w:rPr>
              <w:t>26</w:t>
            </w:r>
          </w:p>
        </w:tc>
        <w:tc>
          <w:tcPr>
            <w:tcW w:w="2531"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hAnsi="宋体"/>
                <w:szCs w:val="21"/>
              </w:rPr>
            </w:pPr>
            <w:r>
              <w:rPr>
                <w:rFonts w:ascii="宋体" w:hAnsi="宋体"/>
                <w:szCs w:val="21"/>
              </w:rPr>
              <w:t xml:space="preserve">GY/T 72-1989 </w:t>
            </w:r>
          </w:p>
        </w:tc>
        <w:tc>
          <w:tcPr>
            <w:tcW w:w="3388"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szCs w:val="21"/>
              </w:rPr>
            </w:pPr>
            <w:r>
              <w:rPr>
                <w:rFonts w:hint="eastAsia" w:ascii="宋体" w:hAnsi="宋体"/>
                <w:szCs w:val="21"/>
              </w:rPr>
              <w:t>微波、卫星传送声音广播节目通路运行技术指标测量方法</w:t>
            </w:r>
          </w:p>
        </w:tc>
        <w:tc>
          <w:tcPr>
            <w:tcW w:w="4884"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szCs w:val="21"/>
              </w:rPr>
            </w:pPr>
            <w:r>
              <w:rPr>
                <w:rFonts w:hint="eastAsia" w:ascii="宋体" w:hAnsi="宋体"/>
                <w:szCs w:val="21"/>
              </w:rPr>
              <w:t>规定了从传送通路发端广播调制机输入端起，至传送通路收端广播解调机输出端止的微波、卫星传送声音广播节目通路运行技术指标测量方法。</w:t>
            </w:r>
          </w:p>
        </w:tc>
        <w:tc>
          <w:tcPr>
            <w:tcW w:w="2673" w:type="dxa"/>
            <w:tcBorders>
              <w:top w:val="single" w:color="auto" w:sz="4" w:space="0"/>
              <w:left w:val="nil"/>
              <w:bottom w:val="single" w:color="auto" w:sz="4" w:space="0"/>
              <w:right w:val="single" w:color="auto" w:sz="4" w:space="0"/>
            </w:tcBorders>
            <w:shd w:val="clear" w:color="auto" w:fill="FFFFFF"/>
            <w:vAlign w:val="center"/>
          </w:tcPr>
          <w:p>
            <w:r>
              <w:rPr>
                <w:rFonts w:hint="eastAsia" w:ascii="宋体" w:hAnsi="宋体" w:cs="宋体"/>
                <w:bCs/>
                <w:szCs w:val="21"/>
              </w:rPr>
              <w:t>技术过时落后</w:t>
            </w:r>
          </w:p>
        </w:tc>
      </w:tr>
      <w:tr>
        <w:tblPrEx>
          <w:tblLayout w:type="fixed"/>
          <w:tblCellMar>
            <w:top w:w="0" w:type="dxa"/>
            <w:left w:w="108" w:type="dxa"/>
            <w:bottom w:w="0" w:type="dxa"/>
            <w:right w:w="108" w:type="dxa"/>
          </w:tblCellMar>
        </w:tblPrEx>
        <w:trPr>
          <w:cantSplit/>
        </w:trPr>
        <w:tc>
          <w:tcPr>
            <w:tcW w:w="698"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rPr>
                <w:rFonts w:ascii="宋体"/>
                <w:szCs w:val="21"/>
              </w:rPr>
            </w:pPr>
            <w:r>
              <w:rPr>
                <w:rFonts w:ascii="宋体" w:hAnsi="宋体"/>
                <w:szCs w:val="21"/>
              </w:rPr>
              <w:t>27</w:t>
            </w:r>
          </w:p>
        </w:tc>
        <w:tc>
          <w:tcPr>
            <w:tcW w:w="2531"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hAnsi="宋体"/>
                <w:szCs w:val="21"/>
              </w:rPr>
            </w:pPr>
            <w:r>
              <w:rPr>
                <w:rFonts w:ascii="宋体" w:hAnsi="宋体"/>
                <w:szCs w:val="21"/>
              </w:rPr>
              <w:t>GD/J 035-2012</w:t>
            </w:r>
          </w:p>
        </w:tc>
        <w:tc>
          <w:tcPr>
            <w:tcW w:w="3388"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szCs w:val="21"/>
              </w:rPr>
            </w:pPr>
            <w:r>
              <w:rPr>
                <w:rFonts w:hint="eastAsia" w:ascii="宋体" w:hAnsi="宋体"/>
                <w:szCs w:val="21"/>
              </w:rPr>
              <w:t>卫星直播系统综合接收解码器（加密标清定位型）技术要求和测量方法</w:t>
            </w:r>
          </w:p>
        </w:tc>
        <w:tc>
          <w:tcPr>
            <w:tcW w:w="4884"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szCs w:val="21"/>
              </w:rPr>
            </w:pPr>
            <w:r>
              <w:rPr>
                <w:rFonts w:hint="eastAsia" w:ascii="宋体" w:hAnsi="宋体"/>
                <w:szCs w:val="21"/>
              </w:rPr>
              <w:t>规定了卫星直播系统综合接收解码器（加密标清定位型）的技术要求和测量方法。对于能够确保同样测量不确定度的任何等效测量方法也可以采用。</w:t>
            </w:r>
          </w:p>
        </w:tc>
        <w:tc>
          <w:tcPr>
            <w:tcW w:w="2673" w:type="dxa"/>
            <w:tcBorders>
              <w:top w:val="single" w:color="auto" w:sz="4" w:space="0"/>
              <w:left w:val="nil"/>
              <w:bottom w:val="single" w:color="auto" w:sz="4" w:space="0"/>
              <w:right w:val="single" w:color="auto" w:sz="4" w:space="0"/>
            </w:tcBorders>
            <w:shd w:val="clear" w:color="auto" w:fill="FFFFFF"/>
            <w:vAlign w:val="center"/>
          </w:tcPr>
          <w:p>
            <w:pPr>
              <w:rPr>
                <w:rFonts w:ascii="宋体" w:cs="宋体"/>
                <w:bCs/>
                <w:szCs w:val="21"/>
              </w:rPr>
            </w:pPr>
            <w:r>
              <w:rPr>
                <w:rFonts w:hint="eastAsia" w:ascii="宋体" w:hAnsi="宋体" w:cs="宋体"/>
                <w:bCs/>
                <w:szCs w:val="21"/>
              </w:rPr>
              <w:t>已更新为</w:t>
            </w:r>
            <w:r>
              <w:rPr>
                <w:rFonts w:ascii="宋体" w:hAnsi="宋体" w:cs="宋体"/>
                <w:bCs/>
                <w:szCs w:val="21"/>
              </w:rPr>
              <w:t>GY/T 278-2014</w:t>
            </w:r>
          </w:p>
        </w:tc>
      </w:tr>
      <w:tr>
        <w:tblPrEx>
          <w:tblLayout w:type="fixed"/>
          <w:tblCellMar>
            <w:top w:w="0" w:type="dxa"/>
            <w:left w:w="108" w:type="dxa"/>
            <w:bottom w:w="0" w:type="dxa"/>
            <w:right w:w="108" w:type="dxa"/>
          </w:tblCellMar>
        </w:tblPrEx>
        <w:trPr>
          <w:cantSplit/>
        </w:trPr>
        <w:tc>
          <w:tcPr>
            <w:tcW w:w="698"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rPr>
                <w:rFonts w:ascii="宋体"/>
                <w:szCs w:val="21"/>
              </w:rPr>
            </w:pPr>
            <w:r>
              <w:rPr>
                <w:rFonts w:ascii="宋体" w:hAnsi="宋体"/>
                <w:szCs w:val="21"/>
              </w:rPr>
              <w:t>28</w:t>
            </w:r>
          </w:p>
        </w:tc>
        <w:tc>
          <w:tcPr>
            <w:tcW w:w="2531"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szCs w:val="21"/>
              </w:rPr>
            </w:pPr>
            <w:r>
              <w:rPr>
                <w:rFonts w:ascii="宋体" w:hAnsi="宋体"/>
                <w:szCs w:val="21"/>
              </w:rPr>
              <w:t>GD/J 036-2012</w:t>
            </w:r>
          </w:p>
        </w:tc>
        <w:tc>
          <w:tcPr>
            <w:tcW w:w="3388"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szCs w:val="21"/>
              </w:rPr>
            </w:pPr>
            <w:r>
              <w:rPr>
                <w:rFonts w:hint="eastAsia" w:ascii="宋体" w:hAnsi="宋体"/>
                <w:szCs w:val="21"/>
              </w:rPr>
              <w:t>卫星直播系统综合接收解码器（标清卫星地面双模型）技术要求和测量方法</w:t>
            </w:r>
          </w:p>
        </w:tc>
        <w:tc>
          <w:tcPr>
            <w:tcW w:w="4884" w:type="dxa"/>
            <w:tcBorders>
              <w:top w:val="single" w:color="auto" w:sz="4" w:space="0"/>
              <w:left w:val="nil"/>
              <w:bottom w:val="single" w:color="auto" w:sz="4" w:space="0"/>
              <w:right w:val="single" w:color="auto" w:sz="4" w:space="0"/>
            </w:tcBorders>
            <w:shd w:val="clear" w:color="auto" w:fill="FFFFFF"/>
            <w:vAlign w:val="center"/>
          </w:tcPr>
          <w:p>
            <w:pPr>
              <w:widowControl/>
              <w:jc w:val="left"/>
              <w:rPr>
                <w:rFonts w:ascii="宋体"/>
                <w:szCs w:val="21"/>
              </w:rPr>
            </w:pPr>
            <w:r>
              <w:rPr>
                <w:rFonts w:hint="eastAsia" w:ascii="宋体" w:hAnsi="宋体"/>
                <w:szCs w:val="21"/>
              </w:rPr>
              <w:t>规定了卫星直播系统综合接收解码器（标清卫星地面双模型）的技术要求和测量方法。对于能够确保同样测量不确定度的任何等效测量方法也可以采用。</w:t>
            </w:r>
          </w:p>
        </w:tc>
        <w:tc>
          <w:tcPr>
            <w:tcW w:w="2673" w:type="dxa"/>
            <w:tcBorders>
              <w:top w:val="single" w:color="auto" w:sz="4" w:space="0"/>
              <w:left w:val="nil"/>
              <w:bottom w:val="single" w:color="auto" w:sz="4" w:space="0"/>
              <w:right w:val="single" w:color="auto" w:sz="4" w:space="0"/>
            </w:tcBorders>
            <w:shd w:val="clear" w:color="auto" w:fill="FFFFFF"/>
            <w:vAlign w:val="center"/>
          </w:tcPr>
          <w:p>
            <w:r>
              <w:rPr>
                <w:rFonts w:hint="eastAsia" w:ascii="宋体" w:hAnsi="宋体" w:cs="宋体"/>
                <w:bCs/>
                <w:szCs w:val="21"/>
              </w:rPr>
              <w:t>已更新为</w:t>
            </w:r>
            <w:r>
              <w:rPr>
                <w:rFonts w:ascii="宋体" w:hAnsi="宋体" w:cs="宋体"/>
                <w:bCs/>
                <w:szCs w:val="21"/>
              </w:rPr>
              <w:t>GY/T 279-2014</w:t>
            </w:r>
          </w:p>
        </w:tc>
      </w:tr>
    </w:tbl>
    <w:p>
      <w:pPr>
        <w:spacing w:line="360" w:lineRule="auto"/>
        <w:jc w:val="left"/>
        <w:rPr>
          <w:rFonts w:ascii="仿宋_GB2312" w:eastAsia="仿宋_GB2312"/>
          <w:sz w:val="28"/>
          <w:szCs w:val="32"/>
        </w:rPr>
      </w:pPr>
    </w:p>
    <w:sectPr>
      <w:footerReference r:id="rId3" w:type="default"/>
      <w:footerReference r:id="rId4" w:type="even"/>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DejaVu Sans">
    <w:panose1 w:val="020B0603030804020204"/>
    <w:charset w:val="00"/>
    <w:family w:val="roman"/>
    <w:pitch w:val="default"/>
    <w:sig w:usb0="E7006EFF" w:usb1="D200FDFF" w:usb2="0A246029" w:usb3="0400200C" w:csb0="600001FF" w:csb1="DFFF0000"/>
  </w:font>
  <w:font w:name="方正书宋_GBK">
    <w:altName w:val="方正宋体S-超大字符集"/>
    <w:panose1 w:val="02000000000000000000"/>
    <w:charset w:val="86"/>
    <w:family w:val="auto"/>
    <w:pitch w:val="default"/>
    <w:sig w:usb0="00000001" w:usb1="08000000" w:usb2="00000000" w:usb3="00000000" w:csb0="00040000" w:csb1="00000000"/>
  </w:font>
  <w:font w:name="方正黑体_GBK">
    <w:altName w:val="思源黑体 CN"/>
    <w:panose1 w:val="02000000000000000000"/>
    <w:charset w:val="00"/>
    <w:family w:val="auto"/>
    <w:pitch w:val="default"/>
    <w:sig w:usb0="00000001" w:usb1="08000000" w:usb2="00000000" w:usb3="00000000" w:csb0="00040000" w:csb1="00000000"/>
  </w:font>
  <w:font w:name="Calibri">
    <w:altName w:val="DejaVu Sans"/>
    <w:panose1 w:val="020F0502020204030204"/>
    <w:charset w:val="00"/>
    <w:family w:val="swiss"/>
    <w:pitch w:val="default"/>
    <w:sig w:usb0="00000000" w:usb1="00000000" w:usb2="00000001" w:usb3="00000000" w:csb0="0000019F" w:csb1="00000000"/>
  </w:font>
  <w:font w:name="方正宋体S-超大字符集">
    <w:panose1 w:val="02000000000000000000"/>
    <w:charset w:val="86"/>
    <w:family w:val="auto"/>
    <w:pitch w:val="default"/>
    <w:sig w:usb0="00000001" w:usb1="08000000" w:usb2="00000000" w:usb3="00000000" w:csb0="00040000" w:csb1="00000000"/>
  </w:font>
  <w:font w:name="思源黑体 CN">
    <w:panose1 w:val="020B0600000000000000"/>
    <w:charset w:val="86"/>
    <w:family w:val="auto"/>
    <w:pitch w:val="default"/>
    <w:sig w:usb0="20000003" w:usb1="2ADF3C10" w:usb2="00000016" w:usb3="00000000" w:csb0="60060107" w:csb1="00000000"/>
  </w:font>
  <w:font w:name="方正小标宋_GBK">
    <w:panose1 w:val="02000000000000000000"/>
    <w:charset w:val="86"/>
    <w:family w:val="script"/>
    <w:pitch w:val="default"/>
    <w:sig w:usb0="00000001" w:usb1="0800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rap="around" w:vAnchor="text" w:hAnchor="margin" w:xAlign="center" w:y="1"/>
      <w:rPr>
        <w:rStyle w:val="7"/>
      </w:rPr>
    </w:pPr>
    <w:r>
      <w:rPr>
        <w:rStyle w:val="7"/>
      </w:rPr>
      <w:fldChar w:fldCharType="begin"/>
    </w:r>
    <w:r>
      <w:rPr>
        <w:rStyle w:val="7"/>
      </w:rPr>
      <w:instrText xml:space="preserve">PAGE  </w:instrText>
    </w:r>
    <w:r>
      <w:rPr>
        <w:rStyle w:val="7"/>
      </w:rPr>
      <w:fldChar w:fldCharType="separate"/>
    </w:r>
    <w:r>
      <w:rPr>
        <w:rStyle w:val="7"/>
      </w:rPr>
      <w:t>10</w:t>
    </w:r>
    <w:r>
      <w:rPr>
        <w:rStyle w:val="7"/>
      </w:rPr>
      <w:fldChar w:fldCharType="end"/>
    </w:r>
  </w:p>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rap="around" w:vAnchor="text" w:hAnchor="margin" w:xAlign="center" w:y="1"/>
      <w:rPr>
        <w:rStyle w:val="7"/>
      </w:rPr>
    </w:pPr>
    <w:r>
      <w:rPr>
        <w:rStyle w:val="7"/>
      </w:rPr>
      <w:fldChar w:fldCharType="begin"/>
    </w:r>
    <w:r>
      <w:rPr>
        <w:rStyle w:val="7"/>
      </w:rPr>
      <w:instrText xml:space="preserve">PAGE  </w:instrText>
    </w:r>
    <w:r>
      <w:rPr>
        <w:rStyle w:val="7"/>
      </w:rPr>
      <w:fldChar w:fldCharType="end"/>
    </w:r>
  </w:p>
  <w:p>
    <w:pPr>
      <w:pStyle w:val="4"/>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9C0010"/>
    <w:rsid w:val="00053AB9"/>
    <w:rsid w:val="00075FE0"/>
    <w:rsid w:val="000935DF"/>
    <w:rsid w:val="000E50F4"/>
    <w:rsid w:val="000E7EF0"/>
    <w:rsid w:val="000F2460"/>
    <w:rsid w:val="001150FB"/>
    <w:rsid w:val="00151A72"/>
    <w:rsid w:val="00183F7B"/>
    <w:rsid w:val="001B00C5"/>
    <w:rsid w:val="001F4206"/>
    <w:rsid w:val="001F4CDD"/>
    <w:rsid w:val="00216022"/>
    <w:rsid w:val="002401EE"/>
    <w:rsid w:val="002567C7"/>
    <w:rsid w:val="0025701E"/>
    <w:rsid w:val="00275D2B"/>
    <w:rsid w:val="00294E0F"/>
    <w:rsid w:val="00297503"/>
    <w:rsid w:val="002D2A7C"/>
    <w:rsid w:val="002E3C72"/>
    <w:rsid w:val="0031220C"/>
    <w:rsid w:val="0032064F"/>
    <w:rsid w:val="00326299"/>
    <w:rsid w:val="00374B17"/>
    <w:rsid w:val="00375A85"/>
    <w:rsid w:val="003C1C91"/>
    <w:rsid w:val="00412394"/>
    <w:rsid w:val="00420ED2"/>
    <w:rsid w:val="004263CA"/>
    <w:rsid w:val="0044366F"/>
    <w:rsid w:val="0045199C"/>
    <w:rsid w:val="00452D8D"/>
    <w:rsid w:val="00453B92"/>
    <w:rsid w:val="00495065"/>
    <w:rsid w:val="004A5702"/>
    <w:rsid w:val="004B73A6"/>
    <w:rsid w:val="004C50A4"/>
    <w:rsid w:val="004D0C66"/>
    <w:rsid w:val="004E6828"/>
    <w:rsid w:val="0051464F"/>
    <w:rsid w:val="00535F66"/>
    <w:rsid w:val="00536A82"/>
    <w:rsid w:val="0054284B"/>
    <w:rsid w:val="00547115"/>
    <w:rsid w:val="00551F97"/>
    <w:rsid w:val="00563449"/>
    <w:rsid w:val="00581D03"/>
    <w:rsid w:val="00582A2A"/>
    <w:rsid w:val="005967F6"/>
    <w:rsid w:val="005A57C6"/>
    <w:rsid w:val="005D78E1"/>
    <w:rsid w:val="005F5C19"/>
    <w:rsid w:val="005F61B8"/>
    <w:rsid w:val="006027D8"/>
    <w:rsid w:val="0060523C"/>
    <w:rsid w:val="0062326A"/>
    <w:rsid w:val="0065011D"/>
    <w:rsid w:val="00652F22"/>
    <w:rsid w:val="00655D45"/>
    <w:rsid w:val="00657ECF"/>
    <w:rsid w:val="006760A6"/>
    <w:rsid w:val="00697B1D"/>
    <w:rsid w:val="006A484C"/>
    <w:rsid w:val="006A4C34"/>
    <w:rsid w:val="006B4129"/>
    <w:rsid w:val="006C6300"/>
    <w:rsid w:val="006D4A46"/>
    <w:rsid w:val="006E3CD2"/>
    <w:rsid w:val="007974E3"/>
    <w:rsid w:val="00797D0B"/>
    <w:rsid w:val="007A5A65"/>
    <w:rsid w:val="007A6B45"/>
    <w:rsid w:val="007C5C3B"/>
    <w:rsid w:val="007D4EF2"/>
    <w:rsid w:val="00800CAE"/>
    <w:rsid w:val="00810C5A"/>
    <w:rsid w:val="008156B6"/>
    <w:rsid w:val="00840027"/>
    <w:rsid w:val="00851445"/>
    <w:rsid w:val="00880D3E"/>
    <w:rsid w:val="008E1448"/>
    <w:rsid w:val="008E29A4"/>
    <w:rsid w:val="008E40F2"/>
    <w:rsid w:val="00946B65"/>
    <w:rsid w:val="00953FFF"/>
    <w:rsid w:val="00997AEC"/>
    <w:rsid w:val="009A5987"/>
    <w:rsid w:val="009B0D2A"/>
    <w:rsid w:val="009B15DE"/>
    <w:rsid w:val="009B45C2"/>
    <w:rsid w:val="009C0010"/>
    <w:rsid w:val="009E1E9B"/>
    <w:rsid w:val="009E2E04"/>
    <w:rsid w:val="009F2A12"/>
    <w:rsid w:val="009F42E1"/>
    <w:rsid w:val="00A02EA3"/>
    <w:rsid w:val="00A17F12"/>
    <w:rsid w:val="00A25F86"/>
    <w:rsid w:val="00A74AE4"/>
    <w:rsid w:val="00AD3D7C"/>
    <w:rsid w:val="00B15411"/>
    <w:rsid w:val="00B20EE5"/>
    <w:rsid w:val="00B305DA"/>
    <w:rsid w:val="00B32BA8"/>
    <w:rsid w:val="00B33A06"/>
    <w:rsid w:val="00B44464"/>
    <w:rsid w:val="00B454D9"/>
    <w:rsid w:val="00B573BF"/>
    <w:rsid w:val="00B61C63"/>
    <w:rsid w:val="00B82B3A"/>
    <w:rsid w:val="00B904ED"/>
    <w:rsid w:val="00B90817"/>
    <w:rsid w:val="00B97486"/>
    <w:rsid w:val="00BA53D4"/>
    <w:rsid w:val="00BB3E5F"/>
    <w:rsid w:val="00BE62B6"/>
    <w:rsid w:val="00C127AD"/>
    <w:rsid w:val="00C232F3"/>
    <w:rsid w:val="00C23CA0"/>
    <w:rsid w:val="00C30C01"/>
    <w:rsid w:val="00C60912"/>
    <w:rsid w:val="00C658D0"/>
    <w:rsid w:val="00C709A2"/>
    <w:rsid w:val="00C828DD"/>
    <w:rsid w:val="00C86917"/>
    <w:rsid w:val="00C872DB"/>
    <w:rsid w:val="00CE56C9"/>
    <w:rsid w:val="00D137BB"/>
    <w:rsid w:val="00D17B25"/>
    <w:rsid w:val="00D955CF"/>
    <w:rsid w:val="00DA04AA"/>
    <w:rsid w:val="00DA487B"/>
    <w:rsid w:val="00DD4614"/>
    <w:rsid w:val="00DE3FD2"/>
    <w:rsid w:val="00E052A0"/>
    <w:rsid w:val="00E11236"/>
    <w:rsid w:val="00E14924"/>
    <w:rsid w:val="00E57FD3"/>
    <w:rsid w:val="00E65135"/>
    <w:rsid w:val="00E70A97"/>
    <w:rsid w:val="00F1158B"/>
    <w:rsid w:val="00F125E6"/>
    <w:rsid w:val="00F1506C"/>
    <w:rsid w:val="00F26A75"/>
    <w:rsid w:val="00F637D6"/>
    <w:rsid w:val="00F63B5F"/>
    <w:rsid w:val="00F75C8B"/>
    <w:rsid w:val="00FA11EB"/>
    <w:rsid w:val="00FB6092"/>
    <w:rsid w:val="00FE1D06"/>
    <w:rsid w:val="00FF3078"/>
    <w:rsid w:val="00FF48F1"/>
    <w:rsid w:val="BFFC9EA5"/>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qFormat="1" w:unhideWhenUsed="0"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name="Hyperlink"/>
    <w:lsdException w:qFormat="1" w:unhideWhenUsed="0"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6">
    <w:name w:val="Default Paragraph Font"/>
    <w:semiHidden/>
    <w:uiPriority w:val="99"/>
  </w:style>
  <w:style w:type="table" w:default="1" w:styleId="10">
    <w:name w:val="Normal Table"/>
    <w:semiHidden/>
    <w:unhideWhenUsed/>
    <w:qFormat/>
    <w:uiPriority w:val="99"/>
    <w:tblPr>
      <w:tblLayout w:type="fixed"/>
      <w:tblCellMar>
        <w:top w:w="0" w:type="dxa"/>
        <w:left w:w="108" w:type="dxa"/>
        <w:bottom w:w="0" w:type="dxa"/>
        <w:right w:w="108" w:type="dxa"/>
      </w:tblCellMar>
    </w:tblPr>
  </w:style>
  <w:style w:type="paragraph" w:styleId="2">
    <w:name w:val="Date"/>
    <w:basedOn w:val="1"/>
    <w:next w:val="1"/>
    <w:link w:val="50"/>
    <w:semiHidden/>
    <w:qFormat/>
    <w:uiPriority w:val="99"/>
    <w:pPr>
      <w:ind w:left="100" w:leftChars="2500"/>
    </w:pPr>
    <w:rPr>
      <w:kern w:val="0"/>
      <w:sz w:val="20"/>
      <w:szCs w:val="20"/>
    </w:rPr>
  </w:style>
  <w:style w:type="paragraph" w:styleId="3">
    <w:name w:val="Balloon Text"/>
    <w:basedOn w:val="1"/>
    <w:link w:val="11"/>
    <w:semiHidden/>
    <w:qFormat/>
    <w:uiPriority w:val="99"/>
    <w:rPr>
      <w:sz w:val="18"/>
      <w:szCs w:val="18"/>
    </w:rPr>
  </w:style>
  <w:style w:type="paragraph" w:styleId="4">
    <w:name w:val="footer"/>
    <w:basedOn w:val="1"/>
    <w:link w:val="13"/>
    <w:uiPriority w:val="99"/>
    <w:pPr>
      <w:tabs>
        <w:tab w:val="center" w:pos="4153"/>
        <w:tab w:val="right" w:pos="8306"/>
      </w:tabs>
      <w:snapToGrid w:val="0"/>
      <w:jc w:val="left"/>
    </w:pPr>
    <w:rPr>
      <w:sz w:val="18"/>
      <w:szCs w:val="18"/>
    </w:rPr>
  </w:style>
  <w:style w:type="paragraph" w:styleId="5">
    <w:name w:val="header"/>
    <w:basedOn w:val="1"/>
    <w:link w:val="12"/>
    <w:qFormat/>
    <w:uiPriority w:val="99"/>
    <w:pPr>
      <w:pBdr>
        <w:bottom w:val="single" w:color="auto" w:sz="6" w:space="1"/>
      </w:pBdr>
      <w:tabs>
        <w:tab w:val="center" w:pos="4153"/>
        <w:tab w:val="right" w:pos="8306"/>
      </w:tabs>
      <w:snapToGrid w:val="0"/>
      <w:jc w:val="center"/>
    </w:pPr>
    <w:rPr>
      <w:sz w:val="18"/>
      <w:szCs w:val="18"/>
    </w:rPr>
  </w:style>
  <w:style w:type="character" w:styleId="7">
    <w:name w:val="page number"/>
    <w:basedOn w:val="6"/>
    <w:qFormat/>
    <w:uiPriority w:val="99"/>
    <w:rPr>
      <w:rFonts w:cs="Times New Roman"/>
    </w:rPr>
  </w:style>
  <w:style w:type="character" w:styleId="8">
    <w:name w:val="FollowedHyperlink"/>
    <w:basedOn w:val="6"/>
    <w:semiHidden/>
    <w:qFormat/>
    <w:uiPriority w:val="99"/>
    <w:rPr>
      <w:rFonts w:cs="Times New Roman"/>
      <w:color w:val="800080"/>
      <w:u w:val="single"/>
    </w:rPr>
  </w:style>
  <w:style w:type="character" w:styleId="9">
    <w:name w:val="Hyperlink"/>
    <w:basedOn w:val="6"/>
    <w:semiHidden/>
    <w:qFormat/>
    <w:uiPriority w:val="99"/>
    <w:rPr>
      <w:rFonts w:cs="Times New Roman"/>
      <w:color w:val="0000FF"/>
      <w:u w:val="single"/>
    </w:rPr>
  </w:style>
  <w:style w:type="character" w:customStyle="1" w:styleId="11">
    <w:name w:val="Balloon Text Char"/>
    <w:basedOn w:val="6"/>
    <w:link w:val="3"/>
    <w:semiHidden/>
    <w:qFormat/>
    <w:locked/>
    <w:uiPriority w:val="99"/>
    <w:rPr>
      <w:rFonts w:cs="Times New Roman"/>
      <w:sz w:val="18"/>
      <w:szCs w:val="18"/>
    </w:rPr>
  </w:style>
  <w:style w:type="character" w:customStyle="1" w:styleId="12">
    <w:name w:val="Header Char"/>
    <w:basedOn w:val="6"/>
    <w:link w:val="5"/>
    <w:qFormat/>
    <w:locked/>
    <w:uiPriority w:val="99"/>
    <w:rPr>
      <w:rFonts w:cs="Times New Roman"/>
      <w:sz w:val="18"/>
      <w:szCs w:val="18"/>
    </w:rPr>
  </w:style>
  <w:style w:type="character" w:customStyle="1" w:styleId="13">
    <w:name w:val="Footer Char"/>
    <w:basedOn w:val="6"/>
    <w:link w:val="4"/>
    <w:qFormat/>
    <w:locked/>
    <w:uiPriority w:val="99"/>
    <w:rPr>
      <w:rFonts w:cs="Times New Roman"/>
      <w:sz w:val="18"/>
      <w:szCs w:val="18"/>
    </w:rPr>
  </w:style>
  <w:style w:type="paragraph" w:styleId="14">
    <w:name w:val="List Paragraph"/>
    <w:basedOn w:val="1"/>
    <w:qFormat/>
    <w:uiPriority w:val="99"/>
    <w:pPr>
      <w:ind w:firstLine="420" w:firstLineChars="200"/>
    </w:pPr>
  </w:style>
  <w:style w:type="paragraph" w:customStyle="1" w:styleId="15">
    <w:name w:val="font5"/>
    <w:basedOn w:val="1"/>
    <w:qFormat/>
    <w:uiPriority w:val="99"/>
    <w:pPr>
      <w:widowControl/>
      <w:spacing w:before="100" w:beforeAutospacing="1" w:after="100" w:afterAutospacing="1"/>
      <w:jc w:val="left"/>
    </w:pPr>
    <w:rPr>
      <w:rFonts w:ascii="宋体" w:hAnsi="宋体" w:cs="宋体"/>
      <w:kern w:val="0"/>
      <w:sz w:val="18"/>
      <w:szCs w:val="18"/>
    </w:rPr>
  </w:style>
  <w:style w:type="paragraph" w:customStyle="1" w:styleId="16">
    <w:name w:val="font6"/>
    <w:basedOn w:val="1"/>
    <w:qFormat/>
    <w:uiPriority w:val="99"/>
    <w:pPr>
      <w:widowControl/>
      <w:spacing w:before="100" w:beforeAutospacing="1" w:after="100" w:afterAutospacing="1"/>
      <w:jc w:val="left"/>
    </w:pPr>
    <w:rPr>
      <w:rFonts w:ascii="宋体" w:hAnsi="宋体" w:cs="宋体"/>
      <w:kern w:val="0"/>
      <w:sz w:val="18"/>
      <w:szCs w:val="18"/>
    </w:rPr>
  </w:style>
  <w:style w:type="paragraph" w:customStyle="1" w:styleId="17">
    <w:name w:val="font7"/>
    <w:basedOn w:val="1"/>
    <w:uiPriority w:val="99"/>
    <w:pPr>
      <w:widowControl/>
      <w:spacing w:before="100" w:beforeAutospacing="1" w:after="100" w:afterAutospacing="1"/>
      <w:jc w:val="left"/>
    </w:pPr>
    <w:rPr>
      <w:rFonts w:ascii="宋体" w:hAnsi="宋体" w:cs="宋体"/>
      <w:kern w:val="0"/>
      <w:sz w:val="18"/>
      <w:szCs w:val="18"/>
    </w:rPr>
  </w:style>
  <w:style w:type="paragraph" w:customStyle="1" w:styleId="18">
    <w:name w:val="font8"/>
    <w:basedOn w:val="1"/>
    <w:uiPriority w:val="99"/>
    <w:pPr>
      <w:widowControl/>
      <w:spacing w:before="100" w:beforeAutospacing="1" w:after="100" w:afterAutospacing="1"/>
      <w:jc w:val="left"/>
    </w:pPr>
    <w:rPr>
      <w:rFonts w:ascii="宋体" w:hAnsi="宋体" w:cs="宋体"/>
      <w:b/>
      <w:bCs/>
      <w:color w:val="000000"/>
      <w:kern w:val="0"/>
      <w:sz w:val="22"/>
    </w:rPr>
  </w:style>
  <w:style w:type="paragraph" w:customStyle="1" w:styleId="19">
    <w:name w:val="xl72"/>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b/>
      <w:bCs/>
      <w:kern w:val="0"/>
      <w:sz w:val="24"/>
      <w:szCs w:val="24"/>
    </w:rPr>
  </w:style>
  <w:style w:type="paragraph" w:customStyle="1" w:styleId="20">
    <w:name w:val="xl73"/>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b/>
      <w:bCs/>
      <w:kern w:val="0"/>
      <w:sz w:val="24"/>
      <w:szCs w:val="24"/>
    </w:rPr>
  </w:style>
  <w:style w:type="paragraph" w:customStyle="1" w:styleId="21">
    <w:name w:val="xl74"/>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b/>
      <w:bCs/>
      <w:kern w:val="0"/>
      <w:sz w:val="24"/>
      <w:szCs w:val="24"/>
    </w:rPr>
  </w:style>
  <w:style w:type="paragraph" w:customStyle="1" w:styleId="22">
    <w:name w:val="xl75"/>
    <w:basedOn w:val="1"/>
    <w:qFormat/>
    <w:uiPriority w:val="99"/>
    <w:pPr>
      <w:widowControl/>
      <w:spacing w:before="100" w:beforeAutospacing="1" w:after="100" w:afterAutospacing="1"/>
      <w:jc w:val="left"/>
      <w:textAlignment w:val="center"/>
    </w:pPr>
    <w:rPr>
      <w:rFonts w:ascii="宋体" w:hAnsi="宋体" w:cs="宋体"/>
      <w:b/>
      <w:bCs/>
      <w:kern w:val="0"/>
      <w:sz w:val="24"/>
      <w:szCs w:val="24"/>
    </w:rPr>
  </w:style>
  <w:style w:type="paragraph" w:customStyle="1" w:styleId="23">
    <w:name w:val="xl76"/>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b/>
      <w:bCs/>
      <w:kern w:val="0"/>
      <w:sz w:val="24"/>
      <w:szCs w:val="24"/>
    </w:rPr>
  </w:style>
  <w:style w:type="paragraph" w:customStyle="1" w:styleId="24">
    <w:name w:val="xl77"/>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b/>
      <w:bCs/>
      <w:kern w:val="0"/>
      <w:sz w:val="24"/>
      <w:szCs w:val="24"/>
    </w:rPr>
  </w:style>
  <w:style w:type="paragraph" w:customStyle="1" w:styleId="25">
    <w:name w:val="xl78"/>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b/>
      <w:bCs/>
      <w:kern w:val="0"/>
      <w:sz w:val="24"/>
      <w:szCs w:val="24"/>
    </w:rPr>
  </w:style>
  <w:style w:type="paragraph" w:customStyle="1" w:styleId="26">
    <w:name w:val="xl79"/>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textAlignment w:val="center"/>
    </w:pPr>
    <w:rPr>
      <w:rFonts w:ascii="宋体" w:hAnsi="宋体" w:cs="宋体"/>
      <w:b/>
      <w:bCs/>
      <w:color w:val="000000"/>
      <w:kern w:val="0"/>
      <w:sz w:val="24"/>
      <w:szCs w:val="24"/>
    </w:rPr>
  </w:style>
  <w:style w:type="paragraph" w:customStyle="1" w:styleId="27">
    <w:name w:val="xl80"/>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b/>
      <w:bCs/>
      <w:color w:val="000000"/>
      <w:kern w:val="0"/>
      <w:sz w:val="24"/>
      <w:szCs w:val="24"/>
    </w:rPr>
  </w:style>
  <w:style w:type="paragraph" w:customStyle="1" w:styleId="28">
    <w:name w:val="xl81"/>
    <w:basedOn w:val="1"/>
    <w:qFormat/>
    <w:uiPriority w:val="99"/>
    <w:pPr>
      <w:widowControl/>
      <w:pBdr>
        <w:top w:val="single" w:color="auto" w:sz="4" w:space="0"/>
        <w:left w:val="single" w:color="auto" w:sz="4" w:space="0"/>
        <w:bottom w:val="single" w:color="auto" w:sz="4" w:space="0"/>
      </w:pBdr>
      <w:spacing w:before="100" w:beforeAutospacing="1" w:after="100" w:afterAutospacing="1"/>
      <w:textAlignment w:val="center"/>
    </w:pPr>
    <w:rPr>
      <w:rFonts w:ascii="宋体" w:hAnsi="宋体" w:cs="宋体"/>
      <w:b/>
      <w:bCs/>
      <w:kern w:val="0"/>
      <w:sz w:val="24"/>
      <w:szCs w:val="24"/>
    </w:rPr>
  </w:style>
  <w:style w:type="paragraph" w:customStyle="1" w:styleId="29">
    <w:name w:val="xl82"/>
    <w:basedOn w:val="1"/>
    <w:uiPriority w:val="99"/>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宋体" w:hAnsi="宋体" w:cs="宋体"/>
      <w:b/>
      <w:bCs/>
      <w:kern w:val="0"/>
      <w:sz w:val="24"/>
      <w:szCs w:val="24"/>
    </w:rPr>
  </w:style>
  <w:style w:type="paragraph" w:customStyle="1" w:styleId="30">
    <w:name w:val="xl83"/>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b/>
      <w:bCs/>
      <w:color w:val="00B050"/>
      <w:kern w:val="0"/>
      <w:sz w:val="24"/>
      <w:szCs w:val="24"/>
    </w:rPr>
  </w:style>
  <w:style w:type="paragraph" w:customStyle="1" w:styleId="31">
    <w:name w:val="xl84"/>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b/>
      <w:bCs/>
      <w:color w:val="00B050"/>
      <w:kern w:val="0"/>
      <w:sz w:val="24"/>
      <w:szCs w:val="24"/>
    </w:rPr>
  </w:style>
  <w:style w:type="paragraph" w:customStyle="1" w:styleId="32">
    <w:name w:val="xl85"/>
    <w:basedOn w:val="1"/>
    <w:qFormat/>
    <w:uiPriority w:val="99"/>
    <w:pPr>
      <w:widowControl/>
      <w:spacing w:before="100" w:beforeAutospacing="1" w:after="100" w:afterAutospacing="1"/>
      <w:jc w:val="left"/>
      <w:textAlignment w:val="center"/>
    </w:pPr>
    <w:rPr>
      <w:rFonts w:ascii="宋体" w:hAnsi="宋体" w:cs="宋体"/>
      <w:b/>
      <w:bCs/>
      <w:color w:val="00B050"/>
      <w:kern w:val="0"/>
      <w:sz w:val="24"/>
      <w:szCs w:val="24"/>
    </w:rPr>
  </w:style>
  <w:style w:type="paragraph" w:customStyle="1" w:styleId="33">
    <w:name w:val="xl86"/>
    <w:basedOn w:val="1"/>
    <w:qFormat/>
    <w:uiPriority w:val="99"/>
    <w:pPr>
      <w:widowControl/>
      <w:pBdr>
        <w:top w:val="single" w:color="auto" w:sz="4" w:space="0"/>
        <w:left w:val="single" w:color="auto" w:sz="4" w:space="0"/>
        <w:bottom w:val="single" w:color="auto" w:sz="4" w:space="0"/>
      </w:pBdr>
      <w:spacing w:before="100" w:beforeAutospacing="1" w:after="100" w:afterAutospacing="1"/>
      <w:jc w:val="left"/>
      <w:textAlignment w:val="center"/>
    </w:pPr>
    <w:rPr>
      <w:rFonts w:ascii="宋体" w:hAnsi="宋体" w:cs="宋体"/>
      <w:b/>
      <w:bCs/>
      <w:kern w:val="0"/>
      <w:sz w:val="24"/>
      <w:szCs w:val="24"/>
    </w:rPr>
  </w:style>
  <w:style w:type="paragraph" w:customStyle="1" w:styleId="34">
    <w:name w:val="xl87"/>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textAlignment w:val="center"/>
    </w:pPr>
    <w:rPr>
      <w:rFonts w:ascii="宋体" w:hAnsi="宋体" w:cs="宋体"/>
      <w:b/>
      <w:bCs/>
      <w:kern w:val="0"/>
      <w:sz w:val="24"/>
      <w:szCs w:val="24"/>
    </w:rPr>
  </w:style>
  <w:style w:type="paragraph" w:customStyle="1" w:styleId="35">
    <w:name w:val="xl88"/>
    <w:basedOn w:val="1"/>
    <w:qFormat/>
    <w:uiPriority w:val="99"/>
    <w:pPr>
      <w:widowControl/>
      <w:pBdr>
        <w:top w:val="single" w:color="auto" w:sz="4" w:space="0"/>
        <w:left w:val="single" w:color="auto" w:sz="4" w:space="0"/>
        <w:bottom w:val="single" w:color="auto" w:sz="4" w:space="0"/>
      </w:pBdr>
      <w:spacing w:before="100" w:beforeAutospacing="1" w:after="100" w:afterAutospacing="1"/>
      <w:jc w:val="left"/>
      <w:textAlignment w:val="center"/>
    </w:pPr>
    <w:rPr>
      <w:rFonts w:ascii="宋体" w:hAnsi="宋体" w:cs="宋体"/>
      <w:b/>
      <w:bCs/>
      <w:kern w:val="0"/>
      <w:sz w:val="24"/>
      <w:szCs w:val="24"/>
    </w:rPr>
  </w:style>
  <w:style w:type="paragraph" w:customStyle="1" w:styleId="36">
    <w:name w:val="xl89"/>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b/>
      <w:bCs/>
      <w:color w:val="FF0000"/>
      <w:kern w:val="0"/>
      <w:sz w:val="24"/>
      <w:szCs w:val="24"/>
    </w:rPr>
  </w:style>
  <w:style w:type="paragraph" w:customStyle="1" w:styleId="37">
    <w:name w:val="xl90"/>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b/>
      <w:bCs/>
      <w:color w:val="FF0000"/>
      <w:kern w:val="0"/>
      <w:sz w:val="24"/>
      <w:szCs w:val="24"/>
    </w:rPr>
  </w:style>
  <w:style w:type="paragraph" w:customStyle="1" w:styleId="38">
    <w:name w:val="xl91"/>
    <w:basedOn w:val="1"/>
    <w:uiPriority w:val="99"/>
    <w:pPr>
      <w:widowControl/>
      <w:spacing w:before="100" w:beforeAutospacing="1" w:after="100" w:afterAutospacing="1"/>
      <w:jc w:val="left"/>
      <w:textAlignment w:val="center"/>
    </w:pPr>
    <w:rPr>
      <w:rFonts w:ascii="宋体" w:hAnsi="宋体" w:cs="宋体"/>
      <w:b/>
      <w:bCs/>
      <w:color w:val="FF0000"/>
      <w:kern w:val="0"/>
      <w:sz w:val="24"/>
      <w:szCs w:val="24"/>
    </w:rPr>
  </w:style>
  <w:style w:type="paragraph" w:customStyle="1" w:styleId="39">
    <w:name w:val="xl92"/>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textAlignment w:val="center"/>
    </w:pPr>
    <w:rPr>
      <w:rFonts w:ascii="宋体" w:hAnsi="宋体" w:cs="宋体"/>
      <w:b/>
      <w:bCs/>
      <w:color w:val="FF0000"/>
      <w:kern w:val="0"/>
      <w:sz w:val="24"/>
      <w:szCs w:val="24"/>
    </w:rPr>
  </w:style>
  <w:style w:type="paragraph" w:customStyle="1" w:styleId="40">
    <w:name w:val="xl93"/>
    <w:basedOn w:val="1"/>
    <w:qFormat/>
    <w:uiPriority w:val="99"/>
    <w:pPr>
      <w:widowControl/>
      <w:spacing w:before="100" w:beforeAutospacing="1" w:after="100" w:afterAutospacing="1"/>
      <w:jc w:val="left"/>
      <w:textAlignment w:val="center"/>
    </w:pPr>
    <w:rPr>
      <w:rFonts w:ascii="宋体" w:hAnsi="宋体" w:cs="宋体"/>
      <w:b/>
      <w:bCs/>
      <w:kern w:val="0"/>
      <w:sz w:val="24"/>
      <w:szCs w:val="24"/>
    </w:rPr>
  </w:style>
  <w:style w:type="paragraph" w:customStyle="1" w:styleId="41">
    <w:name w:val="xl94"/>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b/>
      <w:bCs/>
      <w:kern w:val="0"/>
      <w:sz w:val="24"/>
      <w:szCs w:val="24"/>
    </w:rPr>
  </w:style>
  <w:style w:type="paragraph" w:customStyle="1" w:styleId="42">
    <w:name w:val="xl95"/>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b/>
      <w:bCs/>
      <w:kern w:val="0"/>
      <w:sz w:val="24"/>
      <w:szCs w:val="24"/>
    </w:rPr>
  </w:style>
  <w:style w:type="paragraph" w:customStyle="1" w:styleId="43">
    <w:name w:val="xl96"/>
    <w:basedOn w:val="1"/>
    <w:qFormat/>
    <w:uiPriority w:val="99"/>
    <w:pPr>
      <w:widowControl/>
      <w:spacing w:before="100" w:beforeAutospacing="1" w:after="100" w:afterAutospacing="1"/>
      <w:jc w:val="left"/>
    </w:pPr>
    <w:rPr>
      <w:rFonts w:ascii="宋体" w:hAnsi="宋体" w:cs="宋体"/>
      <w:b/>
      <w:bCs/>
      <w:kern w:val="0"/>
      <w:sz w:val="24"/>
      <w:szCs w:val="24"/>
    </w:rPr>
  </w:style>
  <w:style w:type="paragraph" w:customStyle="1" w:styleId="44">
    <w:name w:val="xl97"/>
    <w:basedOn w:val="1"/>
    <w:qFormat/>
    <w:uiPriority w:val="99"/>
    <w:pPr>
      <w:widowControl/>
      <w:spacing w:before="100" w:beforeAutospacing="1" w:after="100" w:afterAutospacing="1"/>
      <w:jc w:val="left"/>
    </w:pPr>
    <w:rPr>
      <w:rFonts w:ascii="宋体" w:hAnsi="宋体" w:cs="宋体"/>
      <w:b/>
      <w:bCs/>
      <w:kern w:val="0"/>
      <w:sz w:val="24"/>
      <w:szCs w:val="24"/>
    </w:rPr>
  </w:style>
  <w:style w:type="paragraph" w:customStyle="1" w:styleId="45">
    <w:name w:val="xl98"/>
    <w:basedOn w:val="1"/>
    <w:qFormat/>
    <w:uiPriority w:val="99"/>
    <w:pPr>
      <w:widowControl/>
      <w:spacing w:before="100" w:beforeAutospacing="1" w:after="100" w:afterAutospacing="1"/>
      <w:jc w:val="left"/>
    </w:pPr>
    <w:rPr>
      <w:rFonts w:ascii="宋体" w:hAnsi="宋体" w:cs="宋体"/>
      <w:b/>
      <w:bCs/>
      <w:kern w:val="0"/>
      <w:sz w:val="24"/>
      <w:szCs w:val="24"/>
    </w:rPr>
  </w:style>
  <w:style w:type="paragraph" w:customStyle="1" w:styleId="46">
    <w:name w:val="xl99"/>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b/>
      <w:bCs/>
      <w:kern w:val="0"/>
      <w:sz w:val="24"/>
      <w:szCs w:val="24"/>
    </w:rPr>
  </w:style>
  <w:style w:type="paragraph" w:customStyle="1" w:styleId="47">
    <w:name w:val="xl100"/>
    <w:basedOn w:val="1"/>
    <w:qFormat/>
    <w:uiPriority w:val="99"/>
    <w:pPr>
      <w:widowControl/>
      <w:spacing w:before="100" w:beforeAutospacing="1" w:after="100" w:afterAutospacing="1"/>
      <w:jc w:val="left"/>
    </w:pPr>
    <w:rPr>
      <w:rFonts w:ascii="宋体" w:hAnsi="宋体" w:cs="宋体"/>
      <w:b/>
      <w:bCs/>
      <w:kern w:val="0"/>
      <w:sz w:val="24"/>
      <w:szCs w:val="24"/>
    </w:rPr>
  </w:style>
  <w:style w:type="paragraph" w:customStyle="1" w:styleId="48">
    <w:name w:val="xl101"/>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b/>
      <w:bCs/>
      <w:color w:val="DA9694"/>
      <w:kern w:val="0"/>
      <w:sz w:val="24"/>
      <w:szCs w:val="24"/>
    </w:rPr>
  </w:style>
  <w:style w:type="character" w:customStyle="1" w:styleId="49">
    <w:name w:val="Date Char"/>
    <w:semiHidden/>
    <w:qFormat/>
    <w:locked/>
    <w:uiPriority w:val="99"/>
  </w:style>
  <w:style w:type="character" w:customStyle="1" w:styleId="50">
    <w:name w:val="Date Char1"/>
    <w:basedOn w:val="6"/>
    <w:link w:val="2"/>
    <w:semiHidden/>
    <w:qFormat/>
    <w:locked/>
    <w:uiPriority w:val="99"/>
    <w:rPr>
      <w:rFonts w:cs="Times New Roman"/>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8FAFD"/>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Microsoft</Company>
  <Pages>10</Pages>
  <Words>1175</Words>
  <Characters>6701</Characters>
  <Lines>0</Lines>
  <Paragraphs>0</Paragraphs>
  <TotalTime>48</TotalTime>
  <ScaleCrop>false</ScaleCrop>
  <LinksUpToDate>false</LinksUpToDate>
  <CharactersWithSpaces>0</CharactersWithSpaces>
  <Application>WPS Office_10.8.0.6682_F1E327BC-269C-435d-A152-05C5408002CA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2019-03-28T10:38:00Z</dcterms:created>
  <dc:creator>Lenovo</dc:creator>
  <cp:lastModifiedBy>root</cp:lastModifiedBy>
  <cp:lastPrinted>2019-03-05T15:17:00Z</cp:lastPrinted>
  <dcterms:modified xsi:type="dcterms:W3CDTF">2019-05-08T11:13:43Z</dcterms:modified>
  <cp:revision>70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2052-10.8.0.6682</vt:lpwstr>
  </property>
</Properties>
</file>