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800" w:lineRule="exact"/>
        <w:ind w:firstLine="0"/>
        <w:jc w:val="center"/>
        <w:rPr>
          <w:rFonts w:ascii="华文中宋" w:hAnsi="华文中宋" w:eastAsia="华文中宋" w:cs="宋体"/>
          <w:snapToGrid/>
          <w:kern w:val="2"/>
          <w:sz w:val="44"/>
          <w:szCs w:val="44"/>
        </w:rPr>
      </w:pPr>
      <w:bookmarkStart w:id="0" w:name="_GoBack"/>
      <w:r>
        <w:rPr>
          <w:rFonts w:hint="eastAsia" w:ascii="华文中宋" w:hAnsi="华文中宋" w:eastAsia="华文中宋" w:cs="宋体"/>
          <w:snapToGrid/>
          <w:kern w:val="2"/>
          <w:sz w:val="44"/>
          <w:szCs w:val="44"/>
        </w:rPr>
        <w:t>江苏省地面数字电视</w:t>
      </w:r>
    </w:p>
    <w:p>
      <w:pPr>
        <w:autoSpaceDE/>
        <w:autoSpaceDN/>
        <w:snapToGrid/>
        <w:spacing w:line="800" w:lineRule="exact"/>
        <w:ind w:firstLine="0"/>
        <w:jc w:val="center"/>
        <w:rPr>
          <w:rFonts w:ascii="华文中宋" w:hAnsi="华文中宋" w:eastAsia="华文中宋" w:cs="宋体"/>
          <w:snapToGrid/>
          <w:kern w:val="2"/>
          <w:sz w:val="44"/>
          <w:szCs w:val="44"/>
        </w:rPr>
      </w:pPr>
      <w:r>
        <w:rPr>
          <w:rFonts w:hint="eastAsia" w:ascii="华文中宋" w:hAnsi="华文中宋" w:eastAsia="华文中宋" w:cs="宋体"/>
          <w:snapToGrid/>
          <w:kern w:val="2"/>
          <w:sz w:val="44"/>
          <w:szCs w:val="44"/>
        </w:rPr>
        <w:t>运行维护管理暂行办法</w:t>
      </w:r>
    </w:p>
    <w:bookmarkEnd w:id="0"/>
    <w:p>
      <w:pPr>
        <w:spacing w:line="600" w:lineRule="exact"/>
        <w:ind w:firstLine="342" w:firstLineChars="96"/>
        <w:jc w:val="center"/>
        <w:rPr>
          <w:rFonts w:ascii="仿宋" w:hAnsi="仿宋" w:eastAsia="仿宋" w:cs="宋体"/>
          <w:b/>
          <w:snapToGrid/>
          <w:kern w:val="2"/>
          <w:sz w:val="36"/>
          <w:szCs w:val="36"/>
        </w:rPr>
      </w:pPr>
    </w:p>
    <w:p>
      <w:pPr>
        <w:spacing w:line="600" w:lineRule="exact"/>
        <w:ind w:firstLine="632" w:firstLineChars="200"/>
        <w:rPr>
          <w:rFonts w:ascii="仿宋_GB2312" w:hAnsi="仿宋" w:eastAsia="仿宋_GB2312" w:cs="宋体"/>
          <w:snapToGrid/>
          <w:kern w:val="2"/>
          <w:szCs w:val="32"/>
        </w:rPr>
      </w:pPr>
      <w:r>
        <w:rPr>
          <w:rFonts w:hint="eastAsia" w:ascii="黑体" w:hAnsi="黑体" w:eastAsia="黑体" w:cs="宋体"/>
          <w:snapToGrid/>
          <w:kern w:val="2"/>
          <w:szCs w:val="32"/>
        </w:rPr>
        <w:t xml:space="preserve">第一条 </w:t>
      </w:r>
      <w:r>
        <w:rPr>
          <w:rFonts w:hint="eastAsia" w:ascii="仿宋_GB2312" w:hAnsi="仿宋" w:eastAsia="仿宋_GB2312" w:cs="宋体"/>
          <w:snapToGrid/>
          <w:kern w:val="2"/>
          <w:szCs w:val="32"/>
        </w:rPr>
        <w:t>为提升全省广播电视基本公共服务供给质量，确保中央、省级地面数字电视节目完整播出，切实保障群众收视权益；加强对全省地面数字电视覆盖网（以下简称覆盖网）的管理，维护广播电视无线电传输覆盖良好秩序，根据《江苏省广播电视覆盖专项资金管理暂行办法》和《江苏省地面数字电视运维管理工作手册（试行）》，制定本办法。</w:t>
      </w:r>
    </w:p>
    <w:p>
      <w:pPr>
        <w:spacing w:line="600" w:lineRule="exact"/>
        <w:ind w:firstLine="632" w:firstLineChars="200"/>
        <w:rPr>
          <w:rFonts w:ascii="仿宋_GB2312" w:hAnsi="仿宋" w:eastAsia="仿宋_GB2312" w:cs="宋体"/>
          <w:snapToGrid/>
          <w:kern w:val="2"/>
          <w:szCs w:val="32"/>
        </w:rPr>
      </w:pPr>
      <w:r>
        <w:rPr>
          <w:rFonts w:hint="eastAsia" w:ascii="黑体" w:hAnsi="黑体" w:eastAsia="黑体" w:cs="宋体"/>
          <w:snapToGrid/>
          <w:kern w:val="2"/>
          <w:szCs w:val="32"/>
        </w:rPr>
        <w:t xml:space="preserve">第二条 </w:t>
      </w:r>
      <w:r>
        <w:rPr>
          <w:rFonts w:hint="eastAsia" w:ascii="仿宋_GB2312" w:hAnsi="仿宋" w:eastAsia="仿宋_GB2312" w:cs="宋体"/>
          <w:snapToGrid/>
          <w:kern w:val="2"/>
          <w:szCs w:val="32"/>
        </w:rPr>
        <w:t>本办法适用于对江苏省内承担中央、省级地面数字电视节目覆盖任务的发射台站和承担覆盖网运维任务的单位（以下简称覆盖网运维单位）的技术考评。考评工作由省级广电行政部门组织实施。</w:t>
      </w:r>
    </w:p>
    <w:p>
      <w:pPr>
        <w:spacing w:line="600" w:lineRule="exact"/>
        <w:ind w:firstLine="632" w:firstLineChars="200"/>
        <w:rPr>
          <w:rFonts w:ascii="仿宋_GB2312" w:hAnsi="仿宋" w:eastAsia="仿宋_GB2312" w:cs="宋体"/>
          <w:snapToGrid/>
          <w:kern w:val="2"/>
          <w:szCs w:val="32"/>
        </w:rPr>
      </w:pPr>
      <w:r>
        <w:rPr>
          <w:rFonts w:hint="eastAsia" w:ascii="黑体" w:hAnsi="黑体" w:eastAsia="黑体" w:cs="宋体"/>
          <w:snapToGrid/>
          <w:kern w:val="2"/>
          <w:szCs w:val="32"/>
        </w:rPr>
        <w:t xml:space="preserve">第三条 </w:t>
      </w:r>
      <w:r>
        <w:rPr>
          <w:rFonts w:hint="eastAsia" w:ascii="仿宋_GB2312" w:hAnsi="仿宋" w:eastAsia="仿宋_GB2312" w:cs="宋体"/>
          <w:snapToGrid/>
          <w:kern w:val="2"/>
          <w:szCs w:val="32"/>
        </w:rPr>
        <w:t>各发射台站承担本级前端系统（适用于市县级台站）和本台站相关地面数字电视发射系统的安全播出、运行维护和信息报送工作。</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覆盖网运维单位承担省前端系统的安全播出、运行维护和信息报送，全省地面数字电视监控平台和台站管理平台的运行维护，全省地面数字电视节目传输网络的协调管理及跨区维护、运维演练等工作，并协助省级广电行政部门做好台站管理和各台站报送信息的汇总上报工作。</w:t>
      </w:r>
    </w:p>
    <w:p>
      <w:pPr>
        <w:spacing w:line="600" w:lineRule="exact"/>
        <w:ind w:firstLine="632" w:firstLineChars="200"/>
        <w:rPr>
          <w:rFonts w:ascii="仿宋_GB2312" w:hAnsi="仿宋" w:eastAsia="仿宋_GB2312" w:cs="宋体"/>
          <w:snapToGrid/>
          <w:kern w:val="2"/>
          <w:szCs w:val="32"/>
        </w:rPr>
      </w:pPr>
      <w:r>
        <w:rPr>
          <w:rFonts w:hint="eastAsia" w:ascii="黑体" w:hAnsi="黑体" w:eastAsia="黑体" w:cs="宋体"/>
          <w:snapToGrid/>
          <w:kern w:val="2"/>
          <w:szCs w:val="32"/>
        </w:rPr>
        <w:t xml:space="preserve">第四条 </w:t>
      </w:r>
      <w:r>
        <w:rPr>
          <w:rFonts w:hint="eastAsia" w:ascii="仿宋_GB2312" w:hAnsi="仿宋" w:eastAsia="仿宋_GB2312" w:cs="宋体"/>
          <w:snapToGrid/>
          <w:kern w:val="2"/>
          <w:szCs w:val="32"/>
        </w:rPr>
        <w:t>全省地面数字电视运行维护管理考评包括日常考评和综合管理考评。日常考评按季度、综合管理考评按年度进行评分。年度考评周期为当年1月1日至12月31日。</w:t>
      </w:r>
    </w:p>
    <w:p>
      <w:pPr>
        <w:spacing w:line="600" w:lineRule="exact"/>
        <w:ind w:firstLine="632" w:firstLineChars="200"/>
        <w:rPr>
          <w:rFonts w:ascii="仿宋_GB2312" w:hAnsi="仿宋" w:eastAsia="仿宋_GB2312" w:cs="宋体"/>
          <w:snapToGrid/>
          <w:kern w:val="2"/>
          <w:szCs w:val="32"/>
        </w:rPr>
      </w:pPr>
      <w:r>
        <w:rPr>
          <w:rFonts w:hint="eastAsia" w:ascii="黑体" w:hAnsi="黑体" w:eastAsia="黑体" w:cs="宋体"/>
          <w:snapToGrid/>
          <w:kern w:val="2"/>
          <w:szCs w:val="32"/>
        </w:rPr>
        <w:t xml:space="preserve">第五条 </w:t>
      </w:r>
      <w:r>
        <w:rPr>
          <w:rFonts w:hint="eastAsia" w:ascii="仿宋_GB2312" w:hAnsi="仿宋" w:eastAsia="仿宋_GB2312" w:cs="宋体"/>
          <w:snapToGrid/>
          <w:kern w:val="2"/>
          <w:szCs w:val="32"/>
        </w:rPr>
        <w:t>发射台站考评内容包括：</w:t>
      </w:r>
    </w:p>
    <w:p>
      <w:pPr>
        <w:spacing w:line="600" w:lineRule="exact"/>
        <w:ind w:firstLine="632" w:firstLineChars="200"/>
        <w:rPr>
          <w:rFonts w:ascii="楷体_GB2312" w:hAnsi="楷体" w:eastAsia="楷体_GB2312" w:cs="宋体"/>
          <w:snapToGrid/>
          <w:kern w:val="2"/>
          <w:szCs w:val="32"/>
        </w:rPr>
      </w:pPr>
      <w:r>
        <w:rPr>
          <w:rFonts w:hint="eastAsia" w:ascii="楷体_GB2312" w:hAnsi="楷体" w:eastAsia="楷体_GB2312" w:cs="宋体"/>
          <w:snapToGrid/>
          <w:kern w:val="2"/>
          <w:szCs w:val="32"/>
        </w:rPr>
        <w:t>（一）日常考评（每季度20分）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擅自变更播出频道、节目内容和技术参数的，当季考评不得分。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1、满时段（10分）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江苏省地面数字电视全天24小时不间断运行。每周二下午13:00-17:00，每月第四个周三凌晨1:00-5:00为覆盖网例行停机检修时间，重要保障期内取消例行停机检修。</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在发射期间出现停播的台站，根据台站等级累计停播时长，相应得分参照下表执行。台站等级根据《广播电视安全播出管理规定》无线发射转播台实施细则确定。</w:t>
      </w:r>
    </w:p>
    <w:p>
      <w:pPr>
        <w:spacing w:line="400" w:lineRule="exact"/>
        <w:ind w:firstLine="632" w:firstLineChars="200"/>
        <w:rPr>
          <w:rFonts w:ascii="仿宋_GB2312" w:hAnsi="仿宋" w:eastAsia="仿宋_GB2312" w:cs="宋体"/>
          <w:snapToGrid/>
          <w:kern w:val="2"/>
          <w:szCs w:val="32"/>
        </w:rPr>
      </w:pPr>
    </w:p>
    <w:tbl>
      <w:tblPr>
        <w:tblStyle w:val="7"/>
        <w:tblW w:w="8379" w:type="dxa"/>
        <w:tblInd w:w="1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3"/>
        <w:gridCol w:w="2410"/>
        <w:gridCol w:w="2410"/>
        <w:gridCol w:w="13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一级台站</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二级台站</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三级台站</w:t>
            </w:r>
          </w:p>
        </w:tc>
        <w:tc>
          <w:tcPr>
            <w:tcW w:w="1326"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≤30秒/百小时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≤60秒/百小时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≤180秒/百小时</w:t>
            </w:r>
          </w:p>
        </w:tc>
        <w:tc>
          <w:tcPr>
            <w:tcW w:w="1326"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≤35秒/百小时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≤70秒/百小时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≤200秒/百小时</w:t>
            </w:r>
          </w:p>
        </w:tc>
        <w:tc>
          <w:tcPr>
            <w:tcW w:w="1326"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≤40秒/百小时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≤80秒/百小时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≤220秒/百小时</w:t>
            </w:r>
          </w:p>
        </w:tc>
        <w:tc>
          <w:tcPr>
            <w:tcW w:w="1326"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≤45秒/百小时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≤90秒/百小时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≤240秒/百小时</w:t>
            </w:r>
          </w:p>
        </w:tc>
        <w:tc>
          <w:tcPr>
            <w:tcW w:w="1326"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≤50秒/百小时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≤100秒/百小时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≤260秒/百小时</w:t>
            </w:r>
          </w:p>
        </w:tc>
        <w:tc>
          <w:tcPr>
            <w:tcW w:w="1326"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3" w:type="dxa"/>
            <w:shd w:val="clear" w:color="auto" w:fill="auto"/>
            <w:vAlign w:val="center"/>
          </w:tcPr>
          <w:p>
            <w:pPr>
              <w:spacing w:line="560" w:lineRule="exact"/>
              <w:ind w:firstLine="0"/>
              <w:jc w:val="center"/>
              <w:rPr>
                <w:rFonts w:ascii="仿宋_GB2312" w:hAnsi="Calibri" w:eastAsia="仿宋_GB2312" w:cs="宋体"/>
                <w:snapToGrid/>
                <w:kern w:val="2"/>
                <w:szCs w:val="32"/>
              </w:rPr>
            </w:pPr>
            <w:r>
              <w:rPr>
                <w:rFonts w:hint="eastAsia" w:ascii="仿宋_GB2312" w:hAnsi="仿宋_GB2312" w:eastAsia="仿宋_GB2312" w:cs="宋体"/>
                <w:snapToGrid/>
                <w:kern w:val="2"/>
                <w:szCs w:val="32"/>
              </w:rPr>
              <w:t>&gt;</w:t>
            </w:r>
            <w:r>
              <w:rPr>
                <w:rFonts w:hint="eastAsia" w:ascii="仿宋_GB2312" w:hAnsi="Calibri" w:eastAsia="仿宋_GB2312" w:cs="宋体"/>
                <w:snapToGrid/>
                <w:kern w:val="2"/>
                <w:sz w:val="28"/>
                <w:szCs w:val="28"/>
              </w:rPr>
              <w:t>50秒/百小时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Cs w:val="32"/>
              </w:rPr>
            </w:pPr>
            <w:r>
              <w:rPr>
                <w:rFonts w:hint="eastAsia" w:ascii="仿宋_GB2312" w:hAnsi="仿宋_GB2312" w:eastAsia="仿宋_GB2312" w:cs="宋体"/>
                <w:snapToGrid/>
                <w:kern w:val="2"/>
                <w:szCs w:val="32"/>
              </w:rPr>
              <w:t>&gt;</w:t>
            </w:r>
            <w:r>
              <w:rPr>
                <w:rFonts w:hint="eastAsia" w:ascii="仿宋_GB2312" w:hAnsi="Calibri" w:eastAsia="仿宋_GB2312" w:cs="宋体"/>
                <w:snapToGrid/>
                <w:kern w:val="2"/>
                <w:sz w:val="28"/>
                <w:szCs w:val="28"/>
              </w:rPr>
              <w:t>100秒/百小时</w:t>
            </w:r>
          </w:p>
        </w:tc>
        <w:tc>
          <w:tcPr>
            <w:tcW w:w="2410" w:type="dxa"/>
            <w:shd w:val="clear" w:color="auto" w:fill="auto"/>
            <w:vAlign w:val="center"/>
          </w:tcPr>
          <w:p>
            <w:pPr>
              <w:spacing w:line="560" w:lineRule="exact"/>
              <w:ind w:firstLine="0"/>
              <w:jc w:val="center"/>
              <w:rPr>
                <w:rFonts w:ascii="仿宋_GB2312" w:hAnsi="Calibri" w:eastAsia="仿宋_GB2312" w:cs="宋体"/>
                <w:snapToGrid/>
                <w:kern w:val="2"/>
                <w:szCs w:val="32"/>
              </w:rPr>
            </w:pPr>
            <w:r>
              <w:rPr>
                <w:rFonts w:hint="eastAsia" w:ascii="仿宋_GB2312" w:hAnsi="仿宋_GB2312" w:eastAsia="仿宋_GB2312" w:cs="宋体"/>
                <w:snapToGrid/>
                <w:kern w:val="2"/>
                <w:szCs w:val="32"/>
              </w:rPr>
              <w:t>&gt;</w:t>
            </w:r>
            <w:r>
              <w:rPr>
                <w:rFonts w:hint="eastAsia" w:ascii="仿宋_GB2312" w:hAnsi="Calibri" w:eastAsia="仿宋_GB2312" w:cs="宋体"/>
                <w:snapToGrid/>
                <w:kern w:val="2"/>
                <w:sz w:val="28"/>
                <w:szCs w:val="28"/>
              </w:rPr>
              <w:t>260秒/百小时</w:t>
            </w:r>
          </w:p>
        </w:tc>
        <w:tc>
          <w:tcPr>
            <w:tcW w:w="1326" w:type="dxa"/>
            <w:shd w:val="clear" w:color="auto" w:fill="auto"/>
            <w:vAlign w:val="center"/>
          </w:tcPr>
          <w:p>
            <w:pPr>
              <w:spacing w:line="560" w:lineRule="exact"/>
              <w:ind w:firstLine="0"/>
              <w:jc w:val="center"/>
              <w:rPr>
                <w:rFonts w:ascii="仿宋_GB2312" w:hAnsi="Calibri" w:eastAsia="仿宋_GB2312" w:cs="宋体"/>
                <w:snapToGrid/>
                <w:kern w:val="2"/>
                <w:szCs w:val="32"/>
              </w:rPr>
            </w:pPr>
            <w:r>
              <w:rPr>
                <w:rFonts w:hint="eastAsia" w:ascii="仿宋_GB2312" w:hAnsi="Calibri" w:eastAsia="仿宋_GB2312" w:cs="宋体"/>
                <w:snapToGrid/>
                <w:kern w:val="2"/>
                <w:szCs w:val="32"/>
              </w:rPr>
              <w:t>0</w:t>
            </w:r>
          </w:p>
        </w:tc>
      </w:tr>
    </w:tbl>
    <w:p>
      <w:pPr>
        <w:spacing w:line="560" w:lineRule="exact"/>
        <w:ind w:firstLine="632" w:firstLineChars="200"/>
        <w:rPr>
          <w:rFonts w:ascii="仿宋_GB2312" w:hAnsi="仿宋" w:eastAsia="仿宋_GB2312" w:cs="宋体"/>
          <w:b/>
          <w:snapToGrid/>
          <w:kern w:val="2"/>
          <w:szCs w:val="32"/>
        </w:rPr>
      </w:pP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2、满功率（5分）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各台站应在维护中如实记录发射机播出功率并通过台站管理系统上报，瞒报的不得分。省级广电行政部门定期监测并随机抽查发射机播出功率。</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漏报、迟报播出功率，或在维护和省级广电行政部门监测、抽查中发现播出功率未达到标称功率90%以上的，一次扣1分。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3、维护计划和记录（5分）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做好台站前端、发射、监控等系统的维护管理，并及时通过台站管理平台上报相关记录、计划、报表、小结和总结。</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例行或应急维护后2个工作日内上报维护记录，每月结束后5个工作日内上报月度维护小结，每季度结束后5个工作日内上报季度运维经费使用情况报表，每年度结束后10个工作日内上报年度维护总结，漏报一次扣1分，迟报视作漏报。</w:t>
      </w:r>
    </w:p>
    <w:p>
      <w:pPr>
        <w:spacing w:line="600" w:lineRule="exact"/>
        <w:ind w:firstLine="632" w:firstLineChars="200"/>
        <w:rPr>
          <w:rFonts w:ascii="楷体_GB2312" w:hAnsi="楷体" w:eastAsia="楷体_GB2312" w:cs="宋体"/>
          <w:snapToGrid/>
          <w:kern w:val="2"/>
          <w:szCs w:val="32"/>
        </w:rPr>
      </w:pPr>
      <w:r>
        <w:rPr>
          <w:rFonts w:hint="eastAsia" w:ascii="楷体_GB2312" w:hAnsi="楷体" w:eastAsia="楷体_GB2312" w:cs="宋体"/>
          <w:snapToGrid/>
          <w:kern w:val="2"/>
          <w:szCs w:val="32"/>
        </w:rPr>
        <w:t>（二）综合管理考评（20分）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1、安全播出（8分）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严格按照《广播电视安全播出管理规定》（总局令第62号）及无线发射转播台实施细则要求，做好安全播出工作，杜绝责任事故，避免安全事故。发生插播、错播、漏播事故，每次酌情扣1-5分。发生重大责任性安全播出事故，或年度考评周期内发生插播、错播、漏播事故3次以上的，该项不得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2、制度建设 （3分）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建立健全各项规章制度（1分）；制定年度维护计划，值班人员按要求对设备进行巡检和记录，详细记录工作日志（1分）；及时上报各项计划、记录、报表，台账资料准确、翔实（1分）。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3、运行管理（4分）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仪器设备管理规范，建立仪器设备技术档案，工具器材、备品备件妥善放置、专人管理，定期检查、补充和标校（2分）；每年组织不少于一次发射系统指标测试，测试结果符合相关标准要求（2分）。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4、技术管理（3分）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做好试播期、临时停机检修和运行变更的申报备案，未经申报停机检修和变更运行参数的不得分（2分）；按运维手册要求建立专人负责的技术资料库，及时更新整理（1分）。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5、服从调度（2分）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服从省级广电行政部门对地面数字电视技术系统的安排调度。</w:t>
      </w:r>
    </w:p>
    <w:p>
      <w:pPr>
        <w:spacing w:line="600" w:lineRule="exact"/>
        <w:rPr>
          <w:rFonts w:ascii="仿宋_GB2312" w:hAnsi="仿宋" w:eastAsia="仿宋_GB2312" w:cs="宋体"/>
          <w:snapToGrid/>
          <w:kern w:val="2"/>
          <w:szCs w:val="32"/>
        </w:rPr>
      </w:pPr>
      <w:r>
        <w:rPr>
          <w:rFonts w:hint="eastAsia" w:ascii="黑体" w:hAnsi="黑体" w:eastAsia="黑体" w:cs="宋体"/>
          <w:snapToGrid/>
          <w:kern w:val="2"/>
          <w:szCs w:val="32"/>
        </w:rPr>
        <w:t xml:space="preserve">第六条 </w:t>
      </w:r>
      <w:r>
        <w:rPr>
          <w:rFonts w:hint="eastAsia" w:ascii="仿宋_GB2312" w:hAnsi="仿宋" w:eastAsia="仿宋_GB2312" w:cs="宋体"/>
          <w:snapToGrid/>
          <w:kern w:val="2"/>
          <w:szCs w:val="32"/>
        </w:rPr>
        <w:t>覆盖网运维单位考评内容包括：</w:t>
      </w:r>
    </w:p>
    <w:p>
      <w:pPr>
        <w:spacing w:line="600" w:lineRule="exact"/>
        <w:ind w:firstLine="632" w:firstLineChars="200"/>
        <w:rPr>
          <w:rFonts w:ascii="楷体_GB2312" w:hAnsi="楷体" w:eastAsia="楷体_GB2312" w:cs="宋体"/>
          <w:snapToGrid/>
          <w:kern w:val="2"/>
          <w:szCs w:val="32"/>
        </w:rPr>
      </w:pPr>
      <w:r>
        <w:rPr>
          <w:rFonts w:hint="eastAsia" w:ascii="楷体_GB2312" w:hAnsi="楷体" w:eastAsia="楷体_GB2312" w:cs="宋体"/>
          <w:snapToGrid/>
          <w:kern w:val="2"/>
          <w:szCs w:val="32"/>
        </w:rPr>
        <w:t>（一）日常考评（每季度20分）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擅自变更省前端系统下发节目内容，当季考评不得分。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1、满时段（10分）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江苏省地面数字电视全天24小时不间断运行，每周二下午13:00-17:00，每月第四个周三凌晨1:00-5:00为覆盖网例行停机检修时间，重要保障期内取消例行停机检修。</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在播出期间因覆盖网运维单位原因出现省前端系统停播，按一级台站等级累计停播时长，相应得分参照下表执行。</w:t>
      </w:r>
    </w:p>
    <w:p>
      <w:pPr>
        <w:spacing w:line="400" w:lineRule="exact"/>
        <w:ind w:firstLine="632" w:firstLineChars="200"/>
        <w:rPr>
          <w:rFonts w:ascii="仿宋_GB2312" w:hAnsi="仿宋" w:eastAsia="仿宋_GB2312" w:cs="宋体"/>
          <w:snapToGrid/>
          <w:kern w:val="2"/>
          <w:szCs w:val="32"/>
        </w:rPr>
      </w:pPr>
    </w:p>
    <w:tbl>
      <w:tblPr>
        <w:tblStyle w:val="7"/>
        <w:tblW w:w="583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13"/>
        <w:gridCol w:w="22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61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一级台站</w:t>
            </w:r>
          </w:p>
        </w:tc>
        <w:tc>
          <w:tcPr>
            <w:tcW w:w="2217"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61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≤30秒/百小时</w:t>
            </w:r>
          </w:p>
        </w:tc>
        <w:tc>
          <w:tcPr>
            <w:tcW w:w="2217"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61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≤35秒/百小时</w:t>
            </w:r>
          </w:p>
        </w:tc>
        <w:tc>
          <w:tcPr>
            <w:tcW w:w="2217"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61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≤40秒/百小时</w:t>
            </w:r>
          </w:p>
        </w:tc>
        <w:tc>
          <w:tcPr>
            <w:tcW w:w="2217"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61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≤45秒/百小时</w:t>
            </w:r>
          </w:p>
        </w:tc>
        <w:tc>
          <w:tcPr>
            <w:tcW w:w="2217"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613"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≤50秒/百小时</w:t>
            </w:r>
          </w:p>
        </w:tc>
        <w:tc>
          <w:tcPr>
            <w:tcW w:w="2217"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613" w:type="dxa"/>
            <w:shd w:val="clear" w:color="auto" w:fill="auto"/>
            <w:vAlign w:val="center"/>
          </w:tcPr>
          <w:p>
            <w:pPr>
              <w:spacing w:line="560" w:lineRule="exact"/>
              <w:ind w:firstLine="0"/>
              <w:jc w:val="center"/>
              <w:rPr>
                <w:rFonts w:ascii="仿宋_GB2312" w:hAnsi="Calibri" w:eastAsia="仿宋_GB2312" w:cs="宋体"/>
                <w:snapToGrid/>
                <w:kern w:val="2"/>
                <w:szCs w:val="32"/>
              </w:rPr>
            </w:pPr>
            <w:r>
              <w:rPr>
                <w:rFonts w:hint="eastAsia" w:ascii="仿宋_GB2312" w:hAnsi="仿宋_GB2312" w:eastAsia="仿宋_GB2312" w:cs="宋体"/>
                <w:snapToGrid/>
                <w:kern w:val="2"/>
                <w:szCs w:val="32"/>
              </w:rPr>
              <w:t>&gt;</w:t>
            </w:r>
            <w:r>
              <w:rPr>
                <w:rFonts w:hint="eastAsia" w:ascii="仿宋_GB2312" w:hAnsi="Calibri" w:eastAsia="仿宋_GB2312" w:cs="宋体"/>
                <w:snapToGrid/>
                <w:kern w:val="2"/>
                <w:sz w:val="28"/>
                <w:szCs w:val="28"/>
              </w:rPr>
              <w:t>50秒/百小时</w:t>
            </w:r>
          </w:p>
        </w:tc>
        <w:tc>
          <w:tcPr>
            <w:tcW w:w="2217" w:type="dxa"/>
            <w:shd w:val="clear" w:color="auto" w:fill="auto"/>
            <w:vAlign w:val="center"/>
          </w:tcPr>
          <w:p>
            <w:pPr>
              <w:spacing w:line="560" w:lineRule="exact"/>
              <w:ind w:firstLine="0"/>
              <w:jc w:val="center"/>
              <w:rPr>
                <w:rFonts w:ascii="仿宋_GB2312" w:hAnsi="Calibri" w:eastAsia="仿宋_GB2312" w:cs="宋体"/>
                <w:snapToGrid/>
                <w:kern w:val="2"/>
                <w:sz w:val="28"/>
                <w:szCs w:val="28"/>
              </w:rPr>
            </w:pPr>
            <w:r>
              <w:rPr>
                <w:rFonts w:hint="eastAsia" w:ascii="仿宋_GB2312" w:hAnsi="Calibri" w:eastAsia="仿宋_GB2312" w:cs="宋体"/>
                <w:snapToGrid/>
                <w:kern w:val="2"/>
                <w:sz w:val="28"/>
                <w:szCs w:val="28"/>
              </w:rPr>
              <w:t>0</w:t>
            </w:r>
          </w:p>
        </w:tc>
      </w:tr>
    </w:tbl>
    <w:p>
      <w:pPr>
        <w:spacing w:line="600" w:lineRule="exact"/>
        <w:ind w:firstLine="632" w:firstLineChars="200"/>
        <w:rPr>
          <w:rFonts w:ascii="仿宋_GB2312" w:hAnsi="仿宋" w:eastAsia="仿宋_GB2312" w:cs="宋体"/>
          <w:b/>
          <w:snapToGrid/>
          <w:kern w:val="2"/>
          <w:szCs w:val="32"/>
        </w:rPr>
      </w:pP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2、节目传输网络协调管理（5分）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与节目传输网络租用服务提供单位、各发射台站保持顺畅沟通，及时收转节目传输网络故障信息。督促节目传输网络租用服务提供单位提交月度故障清单、处理结果报告及开展季度巡检。每季度结束后10个工作日内向省局上报全省节目传输网络季度报表，每年度结束后10个工作日内向省级广电行政部门提交年度节目传输网络运行分析报告。</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3、维护计划和记录（5分）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做好省前端系统、全省地面数字电视监控平台和台站管理平台的维护管理，制定维护计划、落实维护工作、做好维护记录。</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通过台站管理平台收集整理各发射台站相关记录、计划、报表、小结和总结，并向省级广电行政部门汇总上报。每月结束后10个工作日内汇总上报月度维护小结，每季度结束后10个工作日内汇总上报季度运维经费使用情况报表，每年度结束后20个工作日内汇总上报年度维护总结并附分析报告，漏报一次扣1分。</w:t>
      </w:r>
    </w:p>
    <w:p>
      <w:pPr>
        <w:spacing w:line="600" w:lineRule="exact"/>
        <w:ind w:firstLine="632" w:firstLineChars="200"/>
        <w:rPr>
          <w:rFonts w:ascii="楷体_GB2312" w:hAnsi="楷体" w:eastAsia="楷体_GB2312" w:cs="宋体"/>
          <w:snapToGrid/>
          <w:kern w:val="2"/>
          <w:szCs w:val="32"/>
        </w:rPr>
      </w:pPr>
      <w:r>
        <w:rPr>
          <w:rFonts w:hint="eastAsia" w:ascii="楷体_GB2312" w:hAnsi="楷体" w:eastAsia="楷体_GB2312" w:cs="宋体"/>
          <w:snapToGrid/>
          <w:kern w:val="2"/>
          <w:szCs w:val="32"/>
        </w:rPr>
        <w:t>（二）综合管理考评（20分）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1、安全播出（8分）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严格按照《广播电视安全播出管理规定》（总局令第62号）及无线发射转播台实施细则要求，做好安全播出工作，杜绝责任事故，避免安全事故。发生插播、错播、漏播事故，每次酌情扣1-5分。发生重大责任性安全播出事故，或年度考评周期内发生插播、错播、漏播事故3次以上的，该项不得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2、制度建设 （3分）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建立健全各项规章制度（1分）；组织各发射台站制定年度维护计划，实时掌握各发射台站系统运行情况（1分）；及时收集整理各发射台站计划、记录、报表，台账资料准确、翔实（1分）。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3、运行管理（4分）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做好全省各发射台站及节目传输网络的运维信息及故障信息的统计、分析和报送（2分）；协助省局做好相关工程方案制定、验收和测试（2分）。</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4、运维演练（3分）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按照省级广电行政部门要求完成年度运维演练。</w:t>
      </w:r>
    </w:p>
    <w:p>
      <w:pPr>
        <w:spacing w:line="600" w:lineRule="exact"/>
        <w:ind w:firstLine="632" w:firstLineChars="200"/>
        <w:rPr>
          <w:rFonts w:ascii="仿宋_GB2312" w:hAnsi="仿宋" w:eastAsia="仿宋_GB2312" w:cs="宋体"/>
          <w:b/>
          <w:snapToGrid/>
          <w:kern w:val="2"/>
          <w:szCs w:val="32"/>
        </w:rPr>
      </w:pPr>
      <w:r>
        <w:rPr>
          <w:rFonts w:hint="eastAsia" w:ascii="仿宋_GB2312" w:hAnsi="仿宋" w:eastAsia="仿宋_GB2312" w:cs="宋体"/>
          <w:b/>
          <w:snapToGrid/>
          <w:kern w:val="2"/>
          <w:szCs w:val="32"/>
        </w:rPr>
        <w:t>5、服从调度（2分）</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服从省级广电行政部门对地面数字电视技术系统的安排调度。</w:t>
      </w:r>
    </w:p>
    <w:p>
      <w:pPr>
        <w:spacing w:line="600" w:lineRule="exact"/>
        <w:ind w:firstLine="632" w:firstLineChars="200"/>
        <w:rPr>
          <w:rFonts w:ascii="仿宋_GB2312" w:hAnsi="仿宋" w:eastAsia="仿宋_GB2312" w:cs="宋体"/>
          <w:snapToGrid/>
          <w:kern w:val="2"/>
          <w:szCs w:val="32"/>
        </w:rPr>
      </w:pPr>
      <w:r>
        <w:rPr>
          <w:rFonts w:hint="eastAsia" w:ascii="黑体" w:hAnsi="黑体" w:eastAsia="黑体" w:cs="宋体"/>
          <w:snapToGrid/>
          <w:kern w:val="2"/>
          <w:szCs w:val="32"/>
        </w:rPr>
        <w:t xml:space="preserve">第七条 </w:t>
      </w:r>
      <w:r>
        <w:rPr>
          <w:rFonts w:hint="eastAsia" w:ascii="仿宋_GB2312" w:hAnsi="仿宋" w:eastAsia="仿宋_GB2312" w:cs="宋体"/>
          <w:snapToGrid/>
          <w:kern w:val="2"/>
          <w:szCs w:val="32"/>
        </w:rPr>
        <w:t>省级广电行政部门组织广播电视监测机构对全省地面数字电视播出情况进行实时和流动监测，对各发射台站和覆盖网运维单位开展随机抽查，并将监测和抽查结果作为考评重要依据。被考评单位不配合开展监测、抽查的，酌情扣除考评得分。</w:t>
      </w:r>
    </w:p>
    <w:p>
      <w:pPr>
        <w:spacing w:line="600" w:lineRule="exact"/>
        <w:ind w:firstLine="632" w:firstLineChars="200"/>
        <w:rPr>
          <w:rFonts w:ascii="仿宋_GB2312" w:hAnsi="黑体" w:eastAsia="仿宋_GB2312" w:cs="宋体"/>
          <w:snapToGrid/>
          <w:kern w:val="2"/>
          <w:szCs w:val="32"/>
        </w:rPr>
      </w:pPr>
      <w:r>
        <w:rPr>
          <w:rFonts w:hint="eastAsia" w:ascii="黑体" w:hAnsi="黑体" w:eastAsia="黑体" w:cs="宋体"/>
          <w:snapToGrid/>
          <w:kern w:val="2"/>
          <w:szCs w:val="32"/>
        </w:rPr>
        <w:t xml:space="preserve">第八条 </w:t>
      </w:r>
      <w:r>
        <w:rPr>
          <w:rFonts w:hint="eastAsia" w:ascii="仿宋_GB2312" w:hAnsi="仿宋" w:eastAsia="仿宋_GB2312" w:cs="宋体"/>
          <w:snapToGrid/>
          <w:kern w:val="2"/>
          <w:szCs w:val="32"/>
        </w:rPr>
        <w:t>年度考评得分与等级</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年度考评得分=四个季度日常考评得分+综合管理考评得分。年度考评分为优秀、良好、合格和不合格四等。年度考评得分95-100分为优秀；90-94分为良好；80-89分为合格；80分以下为不合格。</w:t>
      </w:r>
    </w:p>
    <w:p>
      <w:pPr>
        <w:spacing w:line="600" w:lineRule="exact"/>
        <w:ind w:firstLine="632" w:firstLineChars="200"/>
        <w:rPr>
          <w:rFonts w:ascii="仿宋_GB2312" w:hAnsi="仿宋" w:eastAsia="仿宋_GB2312" w:cs="宋体"/>
          <w:snapToGrid/>
          <w:kern w:val="2"/>
          <w:szCs w:val="32"/>
        </w:rPr>
      </w:pPr>
      <w:r>
        <w:rPr>
          <w:rFonts w:hint="eastAsia" w:ascii="黑体" w:hAnsi="黑体" w:eastAsia="黑体" w:cs="宋体"/>
          <w:snapToGrid/>
          <w:kern w:val="2"/>
          <w:szCs w:val="32"/>
        </w:rPr>
        <w:t xml:space="preserve">第九条 </w:t>
      </w:r>
      <w:r>
        <w:rPr>
          <w:rFonts w:hint="eastAsia" w:ascii="仿宋_GB2312" w:hAnsi="仿宋" w:eastAsia="仿宋_GB2312" w:cs="宋体"/>
          <w:snapToGrid/>
          <w:kern w:val="2"/>
          <w:szCs w:val="32"/>
        </w:rPr>
        <w:t>运维经费分配与下达</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江苏省地面数字电视运维经费包括中央节目运行维护费和省级节目运行维护费，经费标准根据发射功率、转播节目等要素制定。运维经费的80%为日常运维经费，20%为考评经费。</w:t>
      </w:r>
    </w:p>
    <w:p>
      <w:pPr>
        <w:spacing w:line="600" w:lineRule="exact"/>
        <w:ind w:firstLine="645"/>
        <w:rPr>
          <w:rFonts w:ascii="仿宋_GB2312" w:hAnsi="仿宋" w:eastAsia="仿宋_GB2312" w:cs="宋体"/>
          <w:snapToGrid/>
          <w:kern w:val="2"/>
          <w:szCs w:val="32"/>
        </w:rPr>
      </w:pPr>
      <w:r>
        <w:rPr>
          <w:rFonts w:hint="eastAsia" w:ascii="仿宋_GB2312" w:hAnsi="仿宋" w:eastAsia="仿宋_GB2312" w:cs="宋体"/>
          <w:snapToGrid/>
          <w:kern w:val="2"/>
          <w:szCs w:val="32"/>
        </w:rPr>
        <w:t>经费分配原则：根据考评结果进行分配。年度考评满分的台站，运维经费全部拨付，每扣1分相应扣减考评经费的5%，扣完为止。</w:t>
      </w:r>
    </w:p>
    <w:p>
      <w:pPr>
        <w:spacing w:line="600" w:lineRule="exact"/>
        <w:ind w:firstLine="632" w:firstLineChars="200"/>
        <w:rPr>
          <w:rFonts w:ascii="仿宋_GB2312" w:hAnsi="仿宋" w:eastAsia="仿宋_GB2312" w:cs="宋体"/>
          <w:snapToGrid/>
          <w:kern w:val="2"/>
          <w:szCs w:val="32"/>
        </w:rPr>
      </w:pPr>
      <w:r>
        <w:rPr>
          <w:rFonts w:hint="eastAsia" w:ascii="仿宋_GB2312" w:hAnsi="仿宋" w:eastAsia="仿宋_GB2312" w:cs="宋体"/>
          <w:snapToGrid/>
          <w:kern w:val="2"/>
          <w:szCs w:val="32"/>
        </w:rPr>
        <w:t>经费下达原则：根据上一年度考评周期考评结果，确定考评经费扣减比例。扣减后的考评经费与日常运维经费一并下达。</w:t>
      </w:r>
    </w:p>
    <w:p>
      <w:pPr>
        <w:spacing w:line="600" w:lineRule="exact"/>
        <w:ind w:firstLine="632" w:firstLineChars="200"/>
        <w:rPr>
          <w:rFonts w:ascii="仿宋_GB2312" w:eastAsia="仿宋_GB2312"/>
          <w:snapToGrid/>
          <w:color w:val="000000"/>
          <w:szCs w:val="32"/>
        </w:rPr>
      </w:pPr>
      <w:r>
        <w:rPr>
          <w:rFonts w:hint="eastAsia" w:ascii="黑体" w:hAnsi="黑体" w:eastAsia="黑体" w:cs="宋体"/>
          <w:snapToGrid/>
          <w:kern w:val="2"/>
          <w:szCs w:val="32"/>
        </w:rPr>
        <w:t xml:space="preserve">第十条 </w:t>
      </w:r>
      <w:r>
        <w:rPr>
          <w:rFonts w:hint="eastAsia" w:ascii="仿宋_GB2312" w:eastAsia="仿宋_GB2312"/>
          <w:snapToGrid/>
          <w:color w:val="000000"/>
          <w:szCs w:val="32"/>
        </w:rPr>
        <w:t>例行停机检修时间不计入考评。因工作需要临时停机，需按总局《广播电视技术系统例行检修和临时停播（传、机）管理办法（暂行）》执行。经批准或备案的，不扣减相应考评得分。未按规定上报或未经批准停播（传、机）作为停播事故纳入季度考评。</w:t>
      </w:r>
    </w:p>
    <w:p>
      <w:pPr>
        <w:spacing w:line="600" w:lineRule="exact"/>
        <w:ind w:firstLine="632" w:firstLineChars="200"/>
        <w:rPr>
          <w:rFonts w:ascii="仿宋_GB2312" w:eastAsia="仿宋_GB2312"/>
          <w:snapToGrid/>
          <w:color w:val="000000"/>
          <w:szCs w:val="32"/>
        </w:rPr>
      </w:pPr>
      <w:r>
        <w:rPr>
          <w:rFonts w:hint="eastAsia" w:ascii="仿宋_GB2312" w:eastAsia="仿宋_GB2312"/>
          <w:snapToGrid/>
          <w:color w:val="000000"/>
          <w:szCs w:val="32"/>
        </w:rPr>
        <w:t>因不可抗拒的外力导致灾害事故，不扣减考评得分。</w:t>
      </w:r>
    </w:p>
    <w:p>
      <w:pPr>
        <w:spacing w:line="600" w:lineRule="exact"/>
        <w:ind w:firstLine="632" w:firstLineChars="200"/>
        <w:rPr>
          <w:rFonts w:ascii="仿宋_GB2312" w:eastAsia="仿宋_GB2312"/>
          <w:snapToGrid/>
          <w:color w:val="000000"/>
          <w:szCs w:val="32"/>
        </w:rPr>
      </w:pPr>
      <w:r>
        <w:rPr>
          <w:rFonts w:hint="eastAsia" w:ascii="黑体" w:hAnsi="黑体" w:eastAsia="黑体" w:cs="宋体"/>
          <w:snapToGrid/>
          <w:kern w:val="2"/>
          <w:szCs w:val="32"/>
        </w:rPr>
        <w:t xml:space="preserve">第十一条 </w:t>
      </w:r>
      <w:r>
        <w:rPr>
          <w:rFonts w:hint="eastAsia" w:ascii="仿宋_GB2312" w:eastAsia="仿宋_GB2312"/>
          <w:snapToGrid/>
          <w:color w:val="000000"/>
          <w:szCs w:val="32"/>
        </w:rPr>
        <w:t>年度考评周期中，累计停播时长超过应播出时长的20%，运维经费不予拨付。</w:t>
      </w:r>
    </w:p>
    <w:p>
      <w:pPr>
        <w:spacing w:line="600" w:lineRule="exact"/>
        <w:ind w:firstLine="632" w:firstLineChars="200"/>
        <w:rPr>
          <w:rFonts w:ascii="仿宋_GB2312" w:eastAsia="仿宋_GB2312"/>
          <w:snapToGrid/>
          <w:color w:val="000000"/>
          <w:szCs w:val="32"/>
        </w:rPr>
      </w:pPr>
      <w:r>
        <w:rPr>
          <w:rFonts w:hint="eastAsia" w:ascii="黑体" w:hAnsi="黑体" w:eastAsia="黑体" w:cs="宋体"/>
          <w:snapToGrid/>
          <w:kern w:val="2"/>
          <w:szCs w:val="32"/>
        </w:rPr>
        <w:t xml:space="preserve">第十二条 </w:t>
      </w:r>
      <w:r>
        <w:rPr>
          <w:rFonts w:hint="eastAsia" w:ascii="仿宋_GB2312" w:eastAsia="仿宋_GB2312"/>
          <w:snapToGrid/>
          <w:color w:val="000000"/>
          <w:szCs w:val="32"/>
        </w:rPr>
        <w:t>对不执行</w:t>
      </w:r>
      <w:r>
        <w:rPr>
          <w:rFonts w:hint="eastAsia" w:ascii="仿宋_GB2312" w:hAnsi="仿宋" w:eastAsia="仿宋_GB2312" w:cs="宋体"/>
          <w:snapToGrid/>
          <w:kern w:val="2"/>
          <w:szCs w:val="32"/>
        </w:rPr>
        <w:t>广电行政部门</w:t>
      </w:r>
      <w:r>
        <w:rPr>
          <w:rFonts w:hint="eastAsia" w:ascii="仿宋_GB2312" w:eastAsia="仿宋_GB2312"/>
          <w:snapToGrid/>
          <w:color w:val="000000"/>
          <w:szCs w:val="32"/>
        </w:rPr>
        <w:t>决定，不服从</w:t>
      </w:r>
      <w:r>
        <w:rPr>
          <w:rFonts w:hint="eastAsia" w:ascii="仿宋_GB2312" w:hAnsi="仿宋" w:eastAsia="仿宋_GB2312" w:cs="宋体"/>
          <w:snapToGrid/>
          <w:kern w:val="2"/>
          <w:szCs w:val="32"/>
        </w:rPr>
        <w:t>广电行政部门</w:t>
      </w:r>
      <w:r>
        <w:rPr>
          <w:rFonts w:hint="eastAsia" w:ascii="仿宋_GB2312" w:eastAsia="仿宋_GB2312"/>
          <w:snapToGrid/>
          <w:color w:val="000000"/>
          <w:szCs w:val="32"/>
        </w:rPr>
        <w:t>管理的被考评单位，省级广电行政部门将予以通报，并视情节轻重采取其他方式予以处理。</w:t>
      </w:r>
    </w:p>
    <w:p>
      <w:pPr>
        <w:spacing w:line="600" w:lineRule="exact"/>
        <w:ind w:firstLine="632" w:firstLineChars="200"/>
        <w:rPr>
          <w:rFonts w:ascii="仿宋_GB2312" w:eastAsia="仿宋_GB2312"/>
          <w:snapToGrid/>
          <w:color w:val="000000"/>
          <w:szCs w:val="32"/>
        </w:rPr>
      </w:pPr>
      <w:r>
        <w:rPr>
          <w:rFonts w:hint="eastAsia" w:ascii="黑体" w:hAnsi="黑体" w:eastAsia="黑体" w:cs="宋体"/>
          <w:snapToGrid/>
          <w:kern w:val="2"/>
          <w:szCs w:val="32"/>
        </w:rPr>
        <w:t xml:space="preserve">第十三条 </w:t>
      </w:r>
      <w:r>
        <w:rPr>
          <w:rFonts w:hint="eastAsia" w:ascii="仿宋_GB2312" w:eastAsia="仿宋_GB2312"/>
          <w:snapToGrid/>
          <w:color w:val="000000"/>
          <w:szCs w:val="32"/>
        </w:rPr>
        <w:t>本办法由江苏省广播电视局负责解释。</w:t>
      </w:r>
    </w:p>
    <w:p>
      <w:pPr>
        <w:spacing w:line="600" w:lineRule="exact"/>
        <w:ind w:firstLine="632" w:firstLineChars="200"/>
        <w:rPr>
          <w:rFonts w:ascii="仿宋_GB2312" w:eastAsia="仿宋_GB2312"/>
          <w:snapToGrid/>
          <w:color w:val="000000"/>
          <w:szCs w:val="32"/>
        </w:rPr>
      </w:pPr>
      <w:r>
        <w:rPr>
          <w:rFonts w:hint="eastAsia" w:ascii="黑体" w:hAnsi="黑体" w:eastAsia="黑体" w:cs="宋体"/>
          <w:snapToGrid/>
          <w:kern w:val="2"/>
          <w:szCs w:val="32"/>
        </w:rPr>
        <w:t xml:space="preserve">第十四条 </w:t>
      </w:r>
      <w:r>
        <w:rPr>
          <w:rFonts w:hint="eastAsia" w:ascii="仿宋_GB2312" w:eastAsia="仿宋_GB2312"/>
          <w:snapToGrid/>
          <w:color w:val="000000"/>
          <w:szCs w:val="32"/>
        </w:rPr>
        <w:t>本办法自2020年4月1日起施行。</w:t>
      </w:r>
    </w:p>
    <w:p>
      <w:pPr>
        <w:pStyle w:val="23"/>
        <w:snapToGrid w:val="0"/>
        <w:spacing w:line="600" w:lineRule="exact"/>
        <w:ind w:left="-57" w:right="-57"/>
        <w:jc w:val="both"/>
        <w:rPr>
          <w:rFonts w:ascii="仿宋_GB2312" w:eastAsia="仿宋_GB2312"/>
          <w:b/>
        </w:rPr>
      </w:pPr>
    </w:p>
    <w:sectPr>
      <w:headerReference r:id="rId3" w:type="default"/>
      <w:footerReference r:id="rId5" w:type="default"/>
      <w:headerReference r:id="rId4" w:type="even"/>
      <w:footerReference r:id="rId6" w:type="even"/>
      <w:pgSz w:w="11906" w:h="16838"/>
      <w:pgMar w:top="1440" w:right="1531" w:bottom="1440" w:left="1531" w:header="720" w:footer="1474" w:gutter="0"/>
      <w:paperSrc w:first="7" w:other="7"/>
      <w:cols w:space="720" w:num="1"/>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黑体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1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170" w:right="170" w:firstLine="0"/>
      <w:jc w:val="right"/>
      <w:rPr>
        <w:rStyle w:val="10"/>
        <w:sz w:val="28"/>
        <w:szCs w:val="28"/>
      </w:rPr>
    </w:pPr>
    <w:r>
      <w:rPr>
        <w:rStyle w:val="10"/>
        <w:rFonts w:hint="eastAsia"/>
        <w:sz w:val="28"/>
        <w:szCs w:val="28"/>
      </w:rPr>
      <w:t xml:space="preserve">― </w:t>
    </w:r>
    <w:r>
      <w:rPr>
        <w:rStyle w:val="10"/>
        <w:sz w:val="28"/>
        <w:szCs w:val="28"/>
      </w:rPr>
      <w:fldChar w:fldCharType="begin"/>
    </w:r>
    <w:r>
      <w:rPr>
        <w:rStyle w:val="10"/>
        <w:sz w:val="28"/>
        <w:szCs w:val="28"/>
      </w:rPr>
      <w:instrText xml:space="preserve"> PAGE </w:instrText>
    </w:r>
    <w:r>
      <w:rPr>
        <w:rStyle w:val="10"/>
        <w:sz w:val="28"/>
        <w:szCs w:val="28"/>
      </w:rPr>
      <w:fldChar w:fldCharType="separate"/>
    </w:r>
    <w:r>
      <w:rPr>
        <w:rStyle w:val="10"/>
        <w:sz w:val="28"/>
        <w:szCs w:val="28"/>
      </w:rPr>
      <w:t>7</w:t>
    </w:r>
    <w:r>
      <w:rPr>
        <w:rStyle w:val="10"/>
        <w:sz w:val="28"/>
        <w:szCs w:val="28"/>
      </w:rPr>
      <w:fldChar w:fldCharType="end"/>
    </w:r>
    <w:r>
      <w:rPr>
        <w:rStyle w:val="10"/>
        <w:rFonts w:hint="eastAsia"/>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170" w:right="170" w:firstLine="0"/>
    </w:pPr>
    <w:r>
      <w:rPr>
        <w:rStyle w:val="10"/>
        <w:rFonts w:hint="eastAsia"/>
        <w:sz w:val="28"/>
        <w:szCs w:val="28"/>
      </w:rPr>
      <w:t xml:space="preserve">― </w:t>
    </w:r>
    <w:r>
      <w:rPr>
        <w:rStyle w:val="10"/>
        <w:sz w:val="28"/>
        <w:szCs w:val="28"/>
      </w:rPr>
      <w:fldChar w:fldCharType="begin"/>
    </w:r>
    <w:r>
      <w:rPr>
        <w:rStyle w:val="10"/>
        <w:sz w:val="28"/>
        <w:szCs w:val="28"/>
      </w:rPr>
      <w:instrText xml:space="preserve">PAGE   \* MERGEFORMAT</w:instrText>
    </w:r>
    <w:r>
      <w:rPr>
        <w:rStyle w:val="10"/>
        <w:sz w:val="28"/>
        <w:szCs w:val="28"/>
      </w:rPr>
      <w:fldChar w:fldCharType="separate"/>
    </w:r>
    <w:r>
      <w:rPr>
        <w:rStyle w:val="10"/>
        <w:sz w:val="28"/>
        <w:szCs w:val="28"/>
      </w:rPr>
      <w:t>8</w:t>
    </w:r>
    <w:r>
      <w:rPr>
        <w:rStyle w:val="10"/>
        <w:sz w:val="28"/>
        <w:szCs w:val="28"/>
      </w:rPr>
      <w:fldChar w:fldCharType="end"/>
    </w:r>
    <w:r>
      <w:rPr>
        <w:rStyle w:val="10"/>
        <w:rFonts w:hint="eastAsia"/>
        <w:sz w:val="28"/>
        <w:szCs w:val="28"/>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0"/>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5E2126DD00001122" w:val=" "/>
  </w:docVars>
  <w:rsids>
    <w:rsidRoot w:val="00B35D8E"/>
    <w:rsid w:val="00011B29"/>
    <w:rsid w:val="00043560"/>
    <w:rsid w:val="0004771A"/>
    <w:rsid w:val="000638FA"/>
    <w:rsid w:val="00071010"/>
    <w:rsid w:val="00082D83"/>
    <w:rsid w:val="000A119A"/>
    <w:rsid w:val="000B00AC"/>
    <w:rsid w:val="001212F3"/>
    <w:rsid w:val="001D0ACC"/>
    <w:rsid w:val="00264878"/>
    <w:rsid w:val="002754C1"/>
    <w:rsid w:val="002A6EDD"/>
    <w:rsid w:val="002C208E"/>
    <w:rsid w:val="002E18B2"/>
    <w:rsid w:val="002F0ED1"/>
    <w:rsid w:val="003231AB"/>
    <w:rsid w:val="003245D2"/>
    <w:rsid w:val="0037051D"/>
    <w:rsid w:val="00395EDD"/>
    <w:rsid w:val="00397A35"/>
    <w:rsid w:val="004059F1"/>
    <w:rsid w:val="0041371C"/>
    <w:rsid w:val="004152B5"/>
    <w:rsid w:val="00415BF8"/>
    <w:rsid w:val="00450943"/>
    <w:rsid w:val="0046684C"/>
    <w:rsid w:val="004D1C65"/>
    <w:rsid w:val="00501A3C"/>
    <w:rsid w:val="0051060A"/>
    <w:rsid w:val="00535D46"/>
    <w:rsid w:val="005C2B1B"/>
    <w:rsid w:val="005D19D5"/>
    <w:rsid w:val="00600C3C"/>
    <w:rsid w:val="006263CC"/>
    <w:rsid w:val="00640541"/>
    <w:rsid w:val="006525EC"/>
    <w:rsid w:val="00670113"/>
    <w:rsid w:val="006754DF"/>
    <w:rsid w:val="00675560"/>
    <w:rsid w:val="00682CFC"/>
    <w:rsid w:val="006856A1"/>
    <w:rsid w:val="00693ACA"/>
    <w:rsid w:val="00695C5E"/>
    <w:rsid w:val="006B5B4F"/>
    <w:rsid w:val="006D6590"/>
    <w:rsid w:val="0071654E"/>
    <w:rsid w:val="007233C9"/>
    <w:rsid w:val="00770166"/>
    <w:rsid w:val="007745EE"/>
    <w:rsid w:val="007E49BA"/>
    <w:rsid w:val="007F013D"/>
    <w:rsid w:val="007F4609"/>
    <w:rsid w:val="00800328"/>
    <w:rsid w:val="008177D7"/>
    <w:rsid w:val="00851F03"/>
    <w:rsid w:val="008A6505"/>
    <w:rsid w:val="008B3836"/>
    <w:rsid w:val="008E09BB"/>
    <w:rsid w:val="008F7AC3"/>
    <w:rsid w:val="00945BD6"/>
    <w:rsid w:val="0096698D"/>
    <w:rsid w:val="0098254F"/>
    <w:rsid w:val="009B2A49"/>
    <w:rsid w:val="00A053ED"/>
    <w:rsid w:val="00A5182C"/>
    <w:rsid w:val="00AB5609"/>
    <w:rsid w:val="00AC69B4"/>
    <w:rsid w:val="00B06BF8"/>
    <w:rsid w:val="00B35D8E"/>
    <w:rsid w:val="00B427AC"/>
    <w:rsid w:val="00B61DD2"/>
    <w:rsid w:val="00B73634"/>
    <w:rsid w:val="00B75388"/>
    <w:rsid w:val="00B75763"/>
    <w:rsid w:val="00B77F4C"/>
    <w:rsid w:val="00BC2460"/>
    <w:rsid w:val="00BD7008"/>
    <w:rsid w:val="00BE175B"/>
    <w:rsid w:val="00BF0C87"/>
    <w:rsid w:val="00BF1C3A"/>
    <w:rsid w:val="00C52E51"/>
    <w:rsid w:val="00C53065"/>
    <w:rsid w:val="00C55B25"/>
    <w:rsid w:val="00C74A18"/>
    <w:rsid w:val="00C77F58"/>
    <w:rsid w:val="00C96A7F"/>
    <w:rsid w:val="00CA3A3C"/>
    <w:rsid w:val="00D233F9"/>
    <w:rsid w:val="00D56546"/>
    <w:rsid w:val="00D60F97"/>
    <w:rsid w:val="00D92240"/>
    <w:rsid w:val="00DA3800"/>
    <w:rsid w:val="00E450C2"/>
    <w:rsid w:val="00E51BB2"/>
    <w:rsid w:val="00E62D45"/>
    <w:rsid w:val="00E7770E"/>
    <w:rsid w:val="00E873D4"/>
    <w:rsid w:val="00ED0C63"/>
    <w:rsid w:val="00EE4D9C"/>
    <w:rsid w:val="00F85D22"/>
    <w:rsid w:val="00FA21A9"/>
    <w:rsid w:val="00FD2B04"/>
    <w:rsid w:val="79B53D48"/>
    <w:rsid w:val="7A3627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Normal Indent"/>
    <w:basedOn w:val="1"/>
    <w:next w:val="1"/>
    <w:uiPriority w:val="0"/>
    <w:pPr>
      <w:adjustRightInd w:val="0"/>
      <w:snapToGrid/>
      <w:ind w:firstLine="0"/>
      <w:jc w:val="left"/>
    </w:pPr>
    <w:rPr>
      <w:spacing w:val="-25"/>
    </w:rPr>
  </w:style>
  <w:style w:type="paragraph" w:styleId="4">
    <w:name w:val="Balloon Text"/>
    <w:basedOn w:val="1"/>
    <w:link w:val="27"/>
    <w:qFormat/>
    <w:uiPriority w:val="0"/>
    <w:pPr>
      <w:spacing w:line="240" w:lineRule="auto"/>
    </w:pPr>
    <w:rPr>
      <w:sz w:val="18"/>
      <w:szCs w:val="18"/>
    </w:rPr>
  </w:style>
  <w:style w:type="paragraph" w:styleId="5">
    <w:name w:val="footer"/>
    <w:basedOn w:val="1"/>
    <w:link w:val="26"/>
    <w:uiPriority w:val="99"/>
    <w:pPr>
      <w:tabs>
        <w:tab w:val="center" w:pos="4153"/>
        <w:tab w:val="right" w:pos="8306"/>
      </w:tabs>
      <w:spacing w:line="240" w:lineRule="atLeast"/>
      <w:jc w:val="left"/>
    </w:pPr>
    <w:rPr>
      <w:sz w:val="1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table" w:styleId="8">
    <w:name w:val="Table Grid"/>
    <w:basedOn w:val="7"/>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10">
    <w:name w:val="page number"/>
    <w:basedOn w:val="9"/>
    <w:qFormat/>
    <w:uiPriority w:val="0"/>
  </w:style>
  <w:style w:type="paragraph" w:customStyle="1" w:styleId="11">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2">
    <w:name w:val="主题词"/>
    <w:basedOn w:val="1"/>
    <w:qFormat/>
    <w:uiPriority w:val="0"/>
    <w:pPr>
      <w:overflowPunct w:val="0"/>
      <w:spacing w:line="400" w:lineRule="atLeast"/>
      <w:ind w:firstLine="0"/>
    </w:pPr>
    <w:rPr>
      <w:rFonts w:ascii="方正黑体_GBK" w:eastAsia="方正黑体_GBK"/>
    </w:rPr>
  </w:style>
  <w:style w:type="paragraph" w:customStyle="1" w:styleId="13">
    <w:name w:val="抄送栏"/>
    <w:basedOn w:val="1"/>
    <w:qFormat/>
    <w:uiPriority w:val="0"/>
    <w:pPr>
      <w:spacing w:line="454" w:lineRule="atLeast"/>
      <w:ind w:left="1310" w:right="357" w:hanging="953"/>
    </w:pPr>
  </w:style>
  <w:style w:type="paragraph" w:customStyle="1" w:styleId="14">
    <w:name w:val="标题2"/>
    <w:basedOn w:val="1"/>
    <w:next w:val="1"/>
    <w:qFormat/>
    <w:uiPriority w:val="0"/>
    <w:pPr>
      <w:ind w:firstLine="0"/>
      <w:jc w:val="center"/>
    </w:pPr>
    <w:rPr>
      <w:rFonts w:eastAsia="方正楷体_GBK"/>
    </w:rPr>
  </w:style>
  <w:style w:type="paragraph" w:customStyle="1" w:styleId="15">
    <w:name w:val="标题3"/>
    <w:basedOn w:val="1"/>
    <w:next w:val="1"/>
    <w:qFormat/>
    <w:uiPriority w:val="0"/>
    <w:rPr>
      <w:rFonts w:eastAsia="方正黑体_GBK"/>
    </w:rPr>
  </w:style>
  <w:style w:type="paragraph" w:customStyle="1" w:styleId="16">
    <w:name w:val="印发栏"/>
    <w:basedOn w:val="1"/>
    <w:qFormat/>
    <w:uiPriority w:val="0"/>
    <w:pPr>
      <w:tabs>
        <w:tab w:val="right" w:pos="8505"/>
      </w:tabs>
      <w:snapToGrid/>
      <w:spacing w:line="454" w:lineRule="atLeast"/>
      <w:ind w:left="357" w:right="357" w:firstLine="0"/>
    </w:pPr>
  </w:style>
  <w:style w:type="paragraph" w:customStyle="1" w:styleId="17">
    <w:name w:val="反线"/>
    <w:basedOn w:val="1"/>
    <w:uiPriority w:val="0"/>
    <w:pPr>
      <w:spacing w:line="120" w:lineRule="atLeast"/>
      <w:ind w:left="-57" w:right="-57" w:firstLine="0"/>
    </w:pPr>
    <w:rPr>
      <w:b/>
    </w:rPr>
  </w:style>
  <w:style w:type="paragraph" w:customStyle="1" w:styleId="18">
    <w:name w:val="份数"/>
    <w:basedOn w:val="1"/>
    <w:qFormat/>
    <w:uiPriority w:val="0"/>
    <w:pPr>
      <w:spacing w:line="400" w:lineRule="atLeast"/>
      <w:ind w:firstLine="0"/>
      <w:jc w:val="right"/>
    </w:pPr>
  </w:style>
  <w:style w:type="paragraph" w:customStyle="1" w:styleId="19">
    <w:name w:val="附件栏"/>
    <w:basedOn w:val="1"/>
    <w:qFormat/>
    <w:uiPriority w:val="0"/>
  </w:style>
  <w:style w:type="paragraph" w:customStyle="1" w:styleId="20">
    <w:name w:val="文头"/>
    <w:basedOn w:val="1"/>
    <w:qFormat/>
    <w:uiPriority w:val="0"/>
    <w:pPr>
      <w:tabs>
        <w:tab w:val="left" w:pos="6663"/>
      </w:tabs>
      <w:spacing w:after="1000" w:line="3100" w:lineRule="atLeast"/>
      <w:ind w:left="511" w:right="227" w:hanging="284"/>
      <w:jc w:val="distribute"/>
    </w:pPr>
    <w:rPr>
      <w:rFonts w:ascii="汉鼎简大宋" w:eastAsia="汉鼎简大宋"/>
      <w:b/>
      <w:color w:val="FF0000"/>
      <w:w w:val="62"/>
      <w:sz w:val="140"/>
    </w:rPr>
  </w:style>
  <w:style w:type="paragraph" w:customStyle="1" w:styleId="21">
    <w:name w:val="紧急程度"/>
    <w:basedOn w:val="1"/>
    <w:uiPriority w:val="0"/>
    <w:pPr>
      <w:adjustRightInd w:val="0"/>
      <w:snapToGrid/>
      <w:spacing w:line="500" w:lineRule="atLeast"/>
      <w:ind w:firstLine="0"/>
      <w:jc w:val="right"/>
    </w:pPr>
    <w:rPr>
      <w:rFonts w:ascii="方正黑体_GBK" w:eastAsia="方正黑体_GBK"/>
    </w:rPr>
  </w:style>
  <w:style w:type="paragraph" w:customStyle="1" w:styleId="22">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3">
    <w:name w:val="线型"/>
    <w:basedOn w:val="13"/>
    <w:qFormat/>
    <w:uiPriority w:val="0"/>
    <w:pPr>
      <w:adjustRightInd w:val="0"/>
      <w:snapToGrid/>
      <w:spacing w:line="240" w:lineRule="auto"/>
      <w:ind w:left="0" w:firstLine="0"/>
      <w:jc w:val="center"/>
    </w:pPr>
    <w:rPr>
      <w:sz w:val="21"/>
    </w:rPr>
  </w:style>
  <w:style w:type="paragraph" w:customStyle="1" w:styleId="24">
    <w:name w:val="印数"/>
    <w:basedOn w:val="16"/>
    <w:uiPriority w:val="0"/>
    <w:pPr>
      <w:tabs>
        <w:tab w:val="right" w:pos="8465"/>
        <w:tab w:val="clear" w:pos="8505"/>
      </w:tabs>
      <w:adjustRightInd w:val="0"/>
      <w:spacing w:line="400" w:lineRule="atLeast"/>
      <w:ind w:left="0" w:right="0"/>
      <w:jc w:val="right"/>
    </w:pPr>
  </w:style>
  <w:style w:type="paragraph" w:customStyle="1" w:styleId="25">
    <w:name w:val="样式 主题词 + 段后: 8.85 磅 行距: 固定值 26 磅"/>
    <w:basedOn w:val="12"/>
    <w:uiPriority w:val="0"/>
    <w:pPr>
      <w:overflowPunct/>
      <w:adjustRightInd w:val="0"/>
      <w:snapToGrid/>
      <w:spacing w:after="177" w:line="520" w:lineRule="exact"/>
      <w:jc w:val="left"/>
    </w:pPr>
    <w:rPr>
      <w:rFonts w:cs="宋体"/>
      <w:bCs/>
    </w:rPr>
  </w:style>
  <w:style w:type="character" w:customStyle="1" w:styleId="26">
    <w:name w:val="页脚 Char"/>
    <w:link w:val="5"/>
    <w:uiPriority w:val="99"/>
    <w:rPr>
      <w:rFonts w:eastAsia="方正仿宋_GBK"/>
      <w:snapToGrid w:val="0"/>
      <w:sz w:val="18"/>
    </w:rPr>
  </w:style>
  <w:style w:type="character" w:customStyle="1" w:styleId="27">
    <w:name w:val="批注框文本 Char"/>
    <w:link w:val="4"/>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5991;&#26723;&#24453;&#24402;&#31867;\&#20869;&#32593;&#20256;&#20837;\&#25311;&#25991;&#27169;&#26495;&#65288;&#23433;&#20840;&#20256;&#36755;&#20445;&#38556;&#22788;&#65289;.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拟文模板（安全传输保障处）</Template>
  <Company>wyk</Company>
  <Pages>9</Pages>
  <Words>595</Words>
  <Characters>3397</Characters>
  <Lines>28</Lines>
  <Paragraphs>7</Paragraphs>
  <TotalTime>18</TotalTime>
  <ScaleCrop>false</ScaleCrop>
  <LinksUpToDate>false</LinksUpToDate>
  <CharactersWithSpaces>3985</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2020-01-19T07:32:00Z</dcterms:created>
  <dc:creator>Micorosoft</dc:creator>
  <cp:lastModifiedBy>STSK</cp:lastModifiedBy>
  <cp:lastPrinted>2012-10-22T08:30:00Z</cp:lastPrinted>
  <dcterms:modified xsi:type="dcterms:W3CDTF">2020-01-19T09:43:40Z</dcterms:modified>
  <dc:title>苏政发上行文</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