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20" w:lineRule="exact"/>
        <w:jc w:val="both"/>
        <w:rPr>
          <w:rFonts w:hint="default" w:ascii="方正黑体_GBK" w:hAnsi="方正黑体_GBK" w:eastAsia="方正黑体_GBK" w:cs="方正黑体_GBK"/>
          <w:sz w:val="44"/>
          <w:szCs w:val="44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>
      <w:pPr>
        <w:spacing w:line="72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江苏省广播电视发展专项资金</w:t>
      </w:r>
    </w:p>
    <w:p>
      <w:pPr>
        <w:spacing w:line="72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（广播电视覆盖）实施细则</w:t>
      </w:r>
    </w:p>
    <w:p>
      <w:pPr>
        <w:spacing w:line="600" w:lineRule="exact"/>
        <w:jc w:val="center"/>
        <w:rPr>
          <w:rFonts w:hint="eastAsia" w:ascii="Times New Roman" w:hAnsi="Times New Roman"/>
          <w:szCs w:val="32"/>
          <w:lang w:eastAsia="zh-CN"/>
        </w:rPr>
      </w:pPr>
      <w:r>
        <w:rPr>
          <w:rFonts w:hint="eastAsia" w:ascii="Times New Roman" w:hAnsi="Times New Roman"/>
          <w:szCs w:val="32"/>
          <w:lang w:eastAsia="zh-CN"/>
        </w:rPr>
        <w:t>（征求意见稿）</w:t>
      </w:r>
    </w:p>
    <w:p>
      <w:pPr>
        <w:spacing w:line="600" w:lineRule="exact"/>
        <w:ind w:firstLine="594" w:firstLineChars="200"/>
        <w:rPr>
          <w:rFonts w:ascii="Times New Roman" w:hAnsi="Times New Roman"/>
          <w:szCs w:val="32"/>
        </w:rPr>
      </w:pPr>
      <w:r>
        <w:rPr>
          <w:rFonts w:ascii="Times New Roman" w:hAnsi="Times New Roman" w:eastAsia="方正黑体_GBK"/>
          <w:szCs w:val="32"/>
        </w:rPr>
        <w:t>第一条</w:t>
      </w:r>
      <w:r>
        <w:rPr>
          <w:rFonts w:ascii="Times New Roman" w:hAnsi="Times New Roman"/>
          <w:szCs w:val="32"/>
        </w:rPr>
        <w:t xml:space="preserve">  为规范专项资金使用管理，促进广播电视高质量发展，根据《江苏省广播电视发展专项资金管理办法》（苏财规〔2023〕5号）（以下简称《管理办法》）相关规定，结合全省广播电视业务发展工作实际，制定《江苏省广播电视发展专项资金（广播电视覆盖）实施细则》（以下简称《实施细则》），作为《管理办法》的配套文件。</w:t>
      </w:r>
    </w:p>
    <w:p>
      <w:pPr>
        <w:spacing w:line="600" w:lineRule="exact"/>
        <w:ind w:firstLine="582" w:firstLineChars="196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szCs w:val="32"/>
        </w:rPr>
        <w:t>第二条</w:t>
      </w:r>
      <w:r>
        <w:rPr>
          <w:rFonts w:ascii="Times New Roman" w:hAnsi="Times New Roman"/>
          <w:szCs w:val="32"/>
        </w:rPr>
        <w:t xml:space="preserve">  《实施细则》所涉及的江苏省广播电视发展专项资金（广播电视覆盖）（以下简称专项资金），使用范围包括：与省级电视节目无线覆盖工程建设及运行维护相关的覆盖网管理、传输网络租用、设备和系统更新改造、设备维修、水电费用、备品备件、日常维护、运维演练；全省中波发射台的设备和系统更新改造、设备维修、水电费用、备品备件、日常维护、运维演练，以及对台站实施的与安全运行相关的设备更新、设施维护、创新试点项目的补助等；省级广播节目调频覆盖（含数字广播）相关的设备和工程</w:t>
      </w:r>
      <w:r>
        <w:rPr>
          <w:rFonts w:ascii="Times New Roman" w:hAnsi="Times New Roman"/>
          <w:kern w:val="0"/>
          <w:szCs w:val="32"/>
        </w:rPr>
        <w:t>建设、发射运维、网络租用及前端维护等。</w:t>
      </w:r>
    </w:p>
    <w:p>
      <w:pPr>
        <w:spacing w:line="600" w:lineRule="exact"/>
        <w:ind w:firstLine="582" w:firstLineChars="196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szCs w:val="32"/>
        </w:rPr>
        <w:t>第三条</w:t>
      </w:r>
      <w:r>
        <w:rPr>
          <w:rFonts w:ascii="Times New Roman" w:hAnsi="Times New Roman"/>
          <w:kern w:val="0"/>
          <w:szCs w:val="32"/>
        </w:rPr>
        <w:t xml:space="preserve">  《管理办法》中涉及的省级应急广播平台的运维、</w:t>
      </w:r>
      <w:r>
        <w:rPr>
          <w:rFonts w:ascii="Times New Roman" w:hAnsi="Times New Roman"/>
          <w:color w:val="FF0000"/>
          <w:kern w:val="0"/>
          <w:szCs w:val="32"/>
          <w:u w:val="single"/>
        </w:rPr>
        <w:t>省广播电视无线覆盖节目监测系统</w:t>
      </w:r>
      <w:r>
        <w:rPr>
          <w:rFonts w:ascii="Times New Roman" w:hAnsi="Times New Roman"/>
          <w:kern w:val="0"/>
          <w:szCs w:val="32"/>
        </w:rPr>
        <w:t>的相关费用统一纳入省广播电视监测台年初预算。</w:t>
      </w:r>
    </w:p>
    <w:p>
      <w:pPr>
        <w:numPr>
          <w:ilvl w:val="255"/>
          <w:numId w:val="0"/>
        </w:numPr>
        <w:spacing w:line="600" w:lineRule="exact"/>
        <w:ind w:firstLine="594" w:firstLineChars="200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szCs w:val="32"/>
        </w:rPr>
        <w:t>第四条</w:t>
      </w:r>
      <w:r>
        <w:rPr>
          <w:rFonts w:ascii="Times New Roman" w:hAnsi="Times New Roman"/>
          <w:kern w:val="0"/>
          <w:szCs w:val="32"/>
        </w:rPr>
        <w:t xml:space="preserve">  专项资金采取因素法方式进行分配。</w:t>
      </w:r>
    </w:p>
    <w:p>
      <w:pPr>
        <w:numPr>
          <w:ilvl w:val="255"/>
          <w:numId w:val="0"/>
        </w:numPr>
        <w:spacing w:line="600" w:lineRule="exact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/>
          <w:kern w:val="0"/>
          <w:szCs w:val="32"/>
        </w:rPr>
        <w:t xml:space="preserve">    （一）省级电视节目无线覆盖发射机运维费，参照国家地面数字电视发射机运行维护费标准执行（表1）。</w:t>
      </w:r>
      <w:r>
        <w:rPr>
          <w:rFonts w:ascii="Times New Roman" w:hAnsi="Times New Roman"/>
          <w:szCs w:val="32"/>
        </w:rPr>
        <w:t>其</w:t>
      </w:r>
      <w:r>
        <w:rPr>
          <w:rFonts w:ascii="Times New Roman" w:hAnsi="Times New Roman"/>
          <w:kern w:val="0"/>
          <w:szCs w:val="32"/>
        </w:rPr>
        <w:t>中80%为保底经费，20%为测评经费。保底经费正常拨付，测评经费根据年度地面数字电视运维管理测评结果拨付，每扣1分，扣减测评经费的5%，扣完为止。</w:t>
      </w:r>
    </w:p>
    <w:tbl>
      <w:tblPr>
        <w:tblStyle w:val="5"/>
        <w:tblW w:w="644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60"/>
        <w:gridCol w:w="31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6444" w:type="dxa"/>
            <w:gridSpan w:val="2"/>
            <w:tcBorders>
              <w:bottom w:val="doub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kern w:val="0"/>
                <w:sz w:val="28"/>
                <w:szCs w:val="28"/>
              </w:rPr>
              <w:t>省级电视节目无线覆盖发射机运维费（表1）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doub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发射机功率（KW）</w:t>
            </w:r>
          </w:p>
        </w:tc>
        <w:tc>
          <w:tcPr>
            <w:tcW w:w="3184" w:type="dxa"/>
            <w:tcBorders>
              <w:top w:val="doub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补助标准（万元/每部机器每年）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21.5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15.6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0.5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0.3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5.1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" w:hRule="atLeast"/>
          <w:jc w:val="center"/>
        </w:trPr>
        <w:tc>
          <w:tcPr>
            <w:tcW w:w="3260" w:type="dxa"/>
            <w:tcBorders>
              <w:top w:val="single" w:color="000000" w:sz="4" w:space="0"/>
              <w:bottom w:val="doub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0.05</w:t>
            </w:r>
          </w:p>
        </w:tc>
        <w:tc>
          <w:tcPr>
            <w:tcW w:w="3184" w:type="dxa"/>
            <w:tcBorders>
              <w:top w:val="single" w:color="000000" w:sz="4" w:space="0"/>
              <w:left w:val="single" w:color="000000" w:sz="4" w:space="0"/>
              <w:bottom w:val="double" w:color="000000" w:sz="4" w:space="0"/>
            </w:tcBorders>
            <w:shd w:val="clear" w:color="auto" w:fill="auto"/>
            <w:noWrap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4.4</w:t>
            </w:r>
          </w:p>
        </w:tc>
      </w:tr>
    </w:tbl>
    <w:p>
      <w:pPr>
        <w:ind w:firstLine="594" w:firstLineChars="200"/>
        <w:rPr>
          <w:rFonts w:ascii="Times New Roman" w:hAnsi="Times New Roman"/>
          <w:szCs w:val="32"/>
        </w:rPr>
      </w:pPr>
      <w:r>
        <w:rPr>
          <w:rFonts w:ascii="Times New Roman" w:hAnsi="Times New Roman"/>
          <w:kern w:val="0"/>
          <w:szCs w:val="32"/>
        </w:rPr>
        <w:t>（二）</w:t>
      </w:r>
      <w:r>
        <w:rPr>
          <w:rFonts w:ascii="Times New Roman" w:hAnsi="Times New Roman"/>
          <w:szCs w:val="32"/>
        </w:rPr>
        <w:t>转播省新闻综合、省文艺广播节目和承担特定任务的</w:t>
      </w:r>
      <w:r>
        <w:rPr>
          <w:rFonts w:ascii="Times New Roman" w:hAnsi="Times New Roman"/>
          <w:kern w:val="0"/>
          <w:szCs w:val="32"/>
        </w:rPr>
        <w:t>中波台发射机运维费，参照国家中波台发射机运维费标准执行（表2）。其</w:t>
      </w:r>
      <w:r>
        <w:rPr>
          <w:rFonts w:ascii="Times New Roman" w:hAnsi="Times New Roman"/>
          <w:szCs w:val="32"/>
        </w:rPr>
        <w:t>中80%为保底经费，20%为测评经费。保底经费正常拨付，测评经费根据年度</w:t>
      </w:r>
      <w:r>
        <w:rPr>
          <w:rFonts w:hint="eastAsia" w:ascii="Times New Roman" w:hAnsi="Times New Roman"/>
          <w:szCs w:val="32"/>
          <w:lang w:eastAsia="zh-CN"/>
        </w:rPr>
        <w:t>中波发射台</w:t>
      </w:r>
      <w:bookmarkStart w:id="0" w:name="_GoBack"/>
      <w:bookmarkEnd w:id="0"/>
      <w:r>
        <w:rPr>
          <w:rFonts w:ascii="Times New Roman" w:hAnsi="Times New Roman"/>
          <w:szCs w:val="32"/>
        </w:rPr>
        <w:t>运维管理测评结果拨付，每扣1分，扣减测评经费的5%，扣完为止。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2"/>
        <w:gridCol w:w="2870"/>
        <w:gridCol w:w="26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8" w:hRule="exact"/>
          <w:jc w:val="center"/>
        </w:trPr>
        <w:tc>
          <w:tcPr>
            <w:tcW w:w="8458" w:type="dxa"/>
            <w:gridSpan w:val="3"/>
            <w:tcBorders>
              <w:top w:val="nil"/>
              <w:left w:val="nil"/>
              <w:bottom w:val="double" w:color="auto" w:sz="4" w:space="0"/>
              <w:right w:val="nil"/>
            </w:tcBorders>
            <w:vAlign w:val="center"/>
          </w:tcPr>
          <w:p>
            <w:pPr>
              <w:widowControl/>
              <w:spacing w:line="34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kern w:val="0"/>
                <w:sz w:val="28"/>
                <w:szCs w:val="28"/>
              </w:rPr>
              <w:t>转播省新闻综合、省文艺广播节目</w:t>
            </w:r>
          </w:p>
          <w:p>
            <w:pPr>
              <w:widowControl/>
              <w:spacing w:line="34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8"/>
                <w:szCs w:val="28"/>
              </w:rPr>
              <w:t>和承担特定任务的中波台发射机运维费（表2）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exact"/>
          <w:jc w:val="center"/>
        </w:trPr>
        <w:tc>
          <w:tcPr>
            <w:tcW w:w="2942" w:type="dxa"/>
            <w:tcBorders>
              <w:top w:val="double" w:color="auto" w:sz="4" w:space="0"/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  <w:szCs w:val="24"/>
              </w:rPr>
              <w:t>发射机功率（KW）</w:t>
            </w:r>
          </w:p>
        </w:tc>
        <w:tc>
          <w:tcPr>
            <w:tcW w:w="2870" w:type="dxa"/>
            <w:tcBorders>
              <w:top w:val="doub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  <w:szCs w:val="24"/>
              </w:rPr>
              <w:t>运维经费（不含电费，万元/每部机器每年）</w:t>
            </w:r>
          </w:p>
        </w:tc>
        <w:tc>
          <w:tcPr>
            <w:tcW w:w="2646" w:type="dxa"/>
            <w:tcBorders>
              <w:top w:val="double" w:color="auto" w:sz="4" w:space="0"/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黑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  <w:szCs w:val="24"/>
              </w:rPr>
              <w:t>运维经费（含电费，万元/每部机器每年）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150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12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194.7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100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12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133.8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50</w:t>
            </w: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  <w:p>
            <w:pPr>
              <w:rPr>
                <w:rFonts w:ascii="Times New Roman" w:hAnsi="Times New Roman" w:eastAsia="方正楷体_GBK"/>
                <w:sz w:val="24"/>
                <w:szCs w:val="24"/>
              </w:rPr>
            </w:pP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9.8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70.7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25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8.4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38.9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10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7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19.2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7.5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7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16.1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5</w:t>
            </w:r>
          </w:p>
        </w:tc>
        <w:tc>
          <w:tcPr>
            <w:tcW w:w="2870" w:type="dxa"/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6</w:t>
            </w:r>
          </w:p>
        </w:tc>
        <w:tc>
          <w:tcPr>
            <w:tcW w:w="2646" w:type="dxa"/>
            <w:tcBorders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12.1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3</w:t>
            </w:r>
          </w:p>
        </w:tc>
        <w:tc>
          <w:tcPr>
            <w:tcW w:w="2870" w:type="dxa"/>
            <w:tcBorders>
              <w:bottom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6</w:t>
            </w:r>
          </w:p>
        </w:tc>
        <w:tc>
          <w:tcPr>
            <w:tcW w:w="2646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9.7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2942" w:type="dxa"/>
            <w:tcBorders>
              <w:left w:val="nil"/>
              <w:bottom w:val="doub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1</w:t>
            </w:r>
          </w:p>
        </w:tc>
        <w:tc>
          <w:tcPr>
            <w:tcW w:w="2870" w:type="dxa"/>
            <w:tcBorders>
              <w:bottom w:val="double" w:color="auto" w:sz="4" w:space="0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5</w:t>
            </w:r>
          </w:p>
        </w:tc>
        <w:tc>
          <w:tcPr>
            <w:tcW w:w="2646" w:type="dxa"/>
            <w:tcBorders>
              <w:bottom w:val="double" w:color="auto" w:sz="4" w:space="0"/>
              <w:right w:val="nil"/>
            </w:tcBorders>
            <w:vAlign w:val="center"/>
          </w:tcPr>
          <w:p>
            <w:pPr>
              <w:widowControl/>
              <w:spacing w:line="300" w:lineRule="exact"/>
              <w:jc w:val="center"/>
              <w:textAlignment w:val="center"/>
              <w:rPr>
                <w:rFonts w:ascii="Times New Roman" w:hAnsi="Times New Roman" w:eastAsia="方正楷体_GBK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kern w:val="0"/>
                <w:sz w:val="24"/>
                <w:szCs w:val="24"/>
              </w:rPr>
              <w:t>6.2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8" w:hRule="exact"/>
          <w:jc w:val="center"/>
        </w:trPr>
        <w:tc>
          <w:tcPr>
            <w:tcW w:w="8458" w:type="dxa"/>
            <w:gridSpan w:val="3"/>
            <w:tcBorders>
              <w:top w:val="doub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1.中波发射机效率按照65%计算，线变损按照13%计算。</w:t>
            </w:r>
          </w:p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2.发射机电费补助中播出时间按每天24小时计算。</w:t>
            </w:r>
          </w:p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3.电费计算公式：发射机功率/发射机效率*每天播出时间*全年天数*电价0.8元/度*1.13。</w:t>
            </w:r>
          </w:p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4.中央财政补助标准中无150千瓦等级，运维经费（不含电费）额度参考100千瓦等级。</w:t>
            </w:r>
          </w:p>
        </w:tc>
      </w:tr>
    </w:tbl>
    <w:p>
      <w:pPr>
        <w:numPr>
          <w:ilvl w:val="255"/>
          <w:numId w:val="0"/>
        </w:numPr>
        <w:spacing w:line="600" w:lineRule="exact"/>
        <w:ind w:firstLine="594" w:firstLineChars="200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/>
          <w:kern w:val="0"/>
          <w:szCs w:val="32"/>
        </w:rPr>
        <w:t>（三）省一套调频广播（含数字广播）覆盖运行维护费，参照国家广播节目调频发射机以及数字发射机运维费标准执行（表3）。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2383"/>
        <w:gridCol w:w="2268"/>
        <w:gridCol w:w="22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exact"/>
          <w:jc w:val="center"/>
        </w:trPr>
        <w:tc>
          <w:tcPr>
            <w:tcW w:w="8456" w:type="dxa"/>
            <w:gridSpan w:val="4"/>
            <w:tcBorders>
              <w:top w:val="nil"/>
              <w:left w:val="nil"/>
              <w:bottom w:val="double" w:color="auto" w:sz="4" w:space="0"/>
              <w:right w:val="nil"/>
            </w:tcBorders>
            <w:vAlign w:val="center"/>
          </w:tcPr>
          <w:p>
            <w:pPr>
              <w:spacing w:line="300" w:lineRule="exact"/>
              <w:ind w:firstLine="553"/>
              <w:jc w:val="center"/>
              <w:rPr>
                <w:rFonts w:ascii="Times New Roman" w:hAnsi="Times New Roman" w:eastAsia="方正楷体_GBK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楷体_GBK"/>
                <w:kern w:val="0"/>
                <w:sz w:val="28"/>
                <w:szCs w:val="28"/>
              </w:rPr>
              <w:t>省一套调频广播（含数字广播）覆盖运行维护费（表3）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exact"/>
          <w:jc w:val="center"/>
        </w:trPr>
        <w:tc>
          <w:tcPr>
            <w:tcW w:w="1569" w:type="dxa"/>
            <w:vMerge w:val="restart"/>
            <w:tcBorders>
              <w:top w:val="double" w:color="auto" w:sz="4" w:space="0"/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发射机功率</w:t>
            </w:r>
          </w:p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（KW）</w:t>
            </w:r>
          </w:p>
        </w:tc>
        <w:tc>
          <w:tcPr>
            <w:tcW w:w="4651" w:type="dxa"/>
            <w:gridSpan w:val="2"/>
            <w:tcBorders>
              <w:top w:val="doub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  <w:szCs w:val="24"/>
              </w:rPr>
              <w:t>调频广播</w:t>
            </w:r>
          </w:p>
        </w:tc>
        <w:tc>
          <w:tcPr>
            <w:tcW w:w="2236" w:type="dxa"/>
            <w:tcBorders>
              <w:top w:val="double" w:color="auto" w:sz="4" w:space="0"/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kern w:val="0"/>
                <w:sz w:val="24"/>
                <w:szCs w:val="24"/>
              </w:rPr>
              <w:t>数字广播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exact"/>
          <w:jc w:val="center"/>
        </w:trPr>
        <w:tc>
          <w:tcPr>
            <w:tcW w:w="1569" w:type="dxa"/>
            <w:vMerge w:val="continue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</w:p>
        </w:tc>
        <w:tc>
          <w:tcPr>
            <w:tcW w:w="2383" w:type="dxa"/>
            <w:tcBorders>
              <w:top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运维经费（不含电费，万元/每部机器每年）</w:t>
            </w:r>
          </w:p>
        </w:tc>
        <w:tc>
          <w:tcPr>
            <w:tcW w:w="2268" w:type="dxa"/>
            <w:tcBorders>
              <w:top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运维经费（含电费，万元/每部机器每年）</w:t>
            </w:r>
          </w:p>
        </w:tc>
        <w:tc>
          <w:tcPr>
            <w:tcW w:w="2236" w:type="dxa"/>
            <w:tcBorders>
              <w:top w:val="nil"/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/>
                <w:sz w:val="24"/>
                <w:szCs w:val="24"/>
              </w:rPr>
              <w:t>补助标准（万元/每部机器每年）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38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30.6</w:t>
            </w:r>
          </w:p>
        </w:tc>
        <w:tc>
          <w:tcPr>
            <w:tcW w:w="2236" w:type="dxa"/>
            <w:tcBorders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45.3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38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14.3</w:t>
            </w:r>
          </w:p>
        </w:tc>
        <w:tc>
          <w:tcPr>
            <w:tcW w:w="2236" w:type="dxa"/>
            <w:tcBorders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38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7.8</w:t>
            </w:r>
          </w:p>
        </w:tc>
        <w:tc>
          <w:tcPr>
            <w:tcW w:w="2236" w:type="dxa"/>
            <w:tcBorders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11.6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0.3</w:t>
            </w:r>
          </w:p>
        </w:tc>
        <w:tc>
          <w:tcPr>
            <w:tcW w:w="238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268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3.5</w:t>
            </w:r>
          </w:p>
        </w:tc>
        <w:tc>
          <w:tcPr>
            <w:tcW w:w="2236" w:type="dxa"/>
            <w:tcBorders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0.1</w:t>
            </w:r>
          </w:p>
        </w:tc>
        <w:tc>
          <w:tcPr>
            <w:tcW w:w="2383" w:type="dxa"/>
            <w:tcBorders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bottom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2.2</w:t>
            </w:r>
          </w:p>
        </w:tc>
        <w:tc>
          <w:tcPr>
            <w:tcW w:w="2236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569" w:type="dxa"/>
            <w:tcBorders>
              <w:left w:val="nil"/>
              <w:bottom w:val="doub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0.05</w:t>
            </w:r>
          </w:p>
        </w:tc>
        <w:tc>
          <w:tcPr>
            <w:tcW w:w="2383" w:type="dxa"/>
            <w:tcBorders>
              <w:bottom w:val="doub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1.5</w:t>
            </w:r>
          </w:p>
        </w:tc>
        <w:tc>
          <w:tcPr>
            <w:tcW w:w="2268" w:type="dxa"/>
            <w:tcBorders>
              <w:bottom w:val="doub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1.6</w:t>
            </w:r>
          </w:p>
        </w:tc>
        <w:tc>
          <w:tcPr>
            <w:tcW w:w="2236" w:type="dxa"/>
            <w:tcBorders>
              <w:bottom w:val="double" w:color="auto" w:sz="4" w:space="0"/>
              <w:right w:val="nil"/>
            </w:tcBorders>
          </w:tcPr>
          <w:p>
            <w:pPr>
              <w:spacing w:line="30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6" w:hRule="exact"/>
          <w:jc w:val="center"/>
        </w:trPr>
        <w:tc>
          <w:tcPr>
            <w:tcW w:w="8456" w:type="dxa"/>
            <w:gridSpan w:val="4"/>
            <w:tcBorders>
              <w:top w:val="double" w:color="auto" w:sz="4" w:space="0"/>
              <w:left w:val="nil"/>
              <w:bottom w:val="nil"/>
              <w:right w:val="nil"/>
            </w:tcBorders>
            <w:vAlign w:val="center"/>
          </w:tcPr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1.调频发射机效率按照45%计算，线变损按照13%计算。</w:t>
            </w:r>
          </w:p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2.发射机电费补助中播出时间按每天24小时计算。</w:t>
            </w:r>
          </w:p>
          <w:p>
            <w:pPr>
              <w:spacing w:line="300" w:lineRule="exact"/>
              <w:jc w:val="left"/>
              <w:rPr>
                <w:rFonts w:ascii="Times New Roman" w:hAnsi="Times New Roman" w:eastAsia="方正楷体_GBK"/>
                <w:sz w:val="24"/>
                <w:szCs w:val="24"/>
              </w:rPr>
            </w:pPr>
            <w:r>
              <w:rPr>
                <w:rFonts w:ascii="Times New Roman" w:hAnsi="Times New Roman" w:eastAsia="方正楷体_GBK"/>
                <w:sz w:val="24"/>
                <w:szCs w:val="24"/>
              </w:rPr>
              <w:t>3.电费计算公式：发射机功率/发射机效率*每天播出时间*全年天数*电价0.8元/度*1.13。</w:t>
            </w:r>
          </w:p>
        </w:tc>
      </w:tr>
    </w:tbl>
    <w:p>
      <w:pPr>
        <w:numPr>
          <w:ilvl w:val="255"/>
          <w:numId w:val="0"/>
        </w:numPr>
        <w:spacing w:line="600" w:lineRule="exact"/>
        <w:ind w:firstLine="594" w:firstLineChars="200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kern w:val="0"/>
          <w:szCs w:val="32"/>
        </w:rPr>
        <w:t>第五条</w:t>
      </w:r>
      <w:r>
        <w:rPr>
          <w:rFonts w:ascii="Times New Roman" w:hAnsi="Times New Roman"/>
          <w:kern w:val="0"/>
          <w:szCs w:val="32"/>
        </w:rPr>
        <w:t xml:space="preserve"> </w:t>
      </w:r>
      <w:r>
        <w:rPr>
          <w:rFonts w:ascii="Times New Roman" w:hAnsi="Times New Roman"/>
          <w:szCs w:val="32"/>
        </w:rPr>
        <w:t xml:space="preserve"> 采用因素法测算的专项资金，由省广播电视局按标准测算，会同省财政厅履行报批程序后，按规定下达资金。</w:t>
      </w:r>
    </w:p>
    <w:p>
      <w:pPr>
        <w:numPr>
          <w:ilvl w:val="255"/>
          <w:numId w:val="0"/>
        </w:numPr>
        <w:spacing w:line="600" w:lineRule="exact"/>
        <w:ind w:firstLine="594" w:firstLineChars="200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kern w:val="0"/>
          <w:szCs w:val="32"/>
        </w:rPr>
        <w:t>第六条</w:t>
      </w:r>
      <w:r>
        <w:rPr>
          <w:rFonts w:ascii="Times New Roman" w:hAnsi="Times New Roman"/>
          <w:kern w:val="0"/>
          <w:szCs w:val="32"/>
        </w:rPr>
        <w:t xml:space="preserve"> </w:t>
      </w:r>
      <w:r>
        <w:rPr>
          <w:rFonts w:ascii="Times New Roman" w:hAnsi="Times New Roman"/>
          <w:szCs w:val="32"/>
        </w:rPr>
        <w:t xml:space="preserve"> </w:t>
      </w:r>
      <w:r>
        <w:rPr>
          <w:rFonts w:ascii="Times New Roman" w:hAnsi="Times New Roman"/>
          <w:kern w:val="0"/>
          <w:szCs w:val="32"/>
        </w:rPr>
        <w:t>省级电视节目无线覆盖、省级广播节目调频覆盖（含数字广播）所需的覆盖网运维、传输网络等服务，由省广播电视局按规定进行政府采购，确定服务费用后从专项资金中列支。</w:t>
      </w:r>
    </w:p>
    <w:p>
      <w:pPr>
        <w:numPr>
          <w:ilvl w:val="255"/>
          <w:numId w:val="0"/>
        </w:numPr>
        <w:spacing w:line="600" w:lineRule="exact"/>
        <w:ind w:firstLine="594" w:firstLineChars="200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 w:eastAsia="方正黑体_GBK"/>
          <w:kern w:val="0"/>
          <w:szCs w:val="32"/>
        </w:rPr>
        <w:t>第七条</w:t>
      </w:r>
      <w:r>
        <w:rPr>
          <w:rFonts w:ascii="Times New Roman" w:hAnsi="Times New Roman"/>
          <w:kern w:val="0"/>
          <w:szCs w:val="32"/>
        </w:rPr>
        <w:t xml:space="preserve">  </w:t>
      </w:r>
      <w:r>
        <w:rPr>
          <w:rFonts w:ascii="Times New Roman" w:hAnsi="Times New Roman"/>
          <w:szCs w:val="32"/>
        </w:rPr>
        <w:t>广播电视设施设备的更新以及其他项目，由省广播电视局结合年度预算安排，会同省财政厅按规定报批后确定。</w:t>
      </w:r>
    </w:p>
    <w:p>
      <w:pPr>
        <w:spacing w:line="600" w:lineRule="exact"/>
        <w:ind w:firstLine="582" w:firstLineChars="196"/>
        <w:rPr>
          <w:rFonts w:hint="eastAsia" w:ascii="Times New Roman" w:hAnsi="Times New Roman"/>
          <w:szCs w:val="32"/>
        </w:rPr>
      </w:pPr>
      <w:r>
        <w:rPr>
          <w:rFonts w:ascii="Times New Roman" w:hAnsi="Times New Roman" w:eastAsia="方正黑体_GBK"/>
          <w:kern w:val="0"/>
          <w:szCs w:val="32"/>
        </w:rPr>
        <w:t xml:space="preserve">第八条 </w:t>
      </w:r>
      <w:r>
        <w:rPr>
          <w:rFonts w:ascii="Times New Roman" w:hAnsi="Times New Roman"/>
          <w:szCs w:val="32"/>
        </w:rPr>
        <w:t xml:space="preserve"> 《实施细则》由省广播电视局会同省财政厅负责解释。</w:t>
      </w:r>
    </w:p>
    <w:sectPr>
      <w:footerReference r:id="rId3" w:type="default"/>
      <w:pgSz w:w="11906" w:h="16838"/>
      <w:pgMar w:top="1814" w:right="1588" w:bottom="1985" w:left="1588" w:header="851" w:footer="992" w:gutter="0"/>
      <w:cols w:space="0" w:num="1"/>
      <w:docGrid w:type="linesAndChars" w:linePitch="606" w:charSpace="-478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  <w:jc w:val="center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gF26zFQIAABk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ind w:firstLine="360"/>
                            <w:jc w:val="center"/>
                          </w:pPr>
                        </w:p>
                        <w:p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firstLine="360"/>
                      <w:jc w:val="center"/>
                    </w:pPr>
                  </w:p>
                  <w:p/>
                </w:txbxContent>
              </v:textbox>
            </v:shape>
          </w:pict>
        </mc:Fallback>
      </mc:AlternateContent>
    </w:r>
  </w:p>
  <w:p>
    <w:pPr>
      <w:ind w:firstLine="64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true"/>
  <w:bordersDoNotSurroundFooter w:val="true"/>
  <w:documentProtection w:enforcement="0"/>
  <w:defaultTabStop w:val="420"/>
  <w:drawingGridHorizontalSpacing w:val="297"/>
  <w:drawingGridVerticalSpacing w:val="303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2NmY2MzZTQzOWJmNTA5MTBjNTA1Zjg4ZjYyZDYwMzUifQ=="/>
  </w:docVars>
  <w:rsids>
    <w:rsidRoot w:val="00031C3B"/>
    <w:rsid w:val="00031C3B"/>
    <w:rsid w:val="000336CF"/>
    <w:rsid w:val="00050DB6"/>
    <w:rsid w:val="00083887"/>
    <w:rsid w:val="000D4043"/>
    <w:rsid w:val="000F2D77"/>
    <w:rsid w:val="00101B94"/>
    <w:rsid w:val="001E53D4"/>
    <w:rsid w:val="00367FE4"/>
    <w:rsid w:val="003A3D12"/>
    <w:rsid w:val="0046446B"/>
    <w:rsid w:val="004A2F0B"/>
    <w:rsid w:val="006A4C15"/>
    <w:rsid w:val="006B0F61"/>
    <w:rsid w:val="006E0C47"/>
    <w:rsid w:val="007032AF"/>
    <w:rsid w:val="00801529"/>
    <w:rsid w:val="008E5083"/>
    <w:rsid w:val="009313EB"/>
    <w:rsid w:val="00A352FB"/>
    <w:rsid w:val="00B14648"/>
    <w:rsid w:val="00B17CD7"/>
    <w:rsid w:val="00BC4A01"/>
    <w:rsid w:val="00C65531"/>
    <w:rsid w:val="00E134B3"/>
    <w:rsid w:val="00EB708E"/>
    <w:rsid w:val="12CA416A"/>
    <w:rsid w:val="15FE3308"/>
    <w:rsid w:val="1BED5A51"/>
    <w:rsid w:val="1F7C7C0E"/>
    <w:rsid w:val="37A647C3"/>
    <w:rsid w:val="3F99F71B"/>
    <w:rsid w:val="44E8452B"/>
    <w:rsid w:val="5A0B220D"/>
    <w:rsid w:val="5E5D1E66"/>
    <w:rsid w:val="73EF1A40"/>
    <w:rsid w:val="77997CE8"/>
    <w:rsid w:val="79EEDC17"/>
    <w:rsid w:val="79F585F8"/>
    <w:rsid w:val="7BEFA975"/>
    <w:rsid w:val="7BF8C3F7"/>
    <w:rsid w:val="7BFF5D77"/>
    <w:rsid w:val="7EFF6F5B"/>
    <w:rsid w:val="7F47CADB"/>
    <w:rsid w:val="7FD5569A"/>
    <w:rsid w:val="7FE787E4"/>
    <w:rsid w:val="A3F4297B"/>
    <w:rsid w:val="A77E1D23"/>
    <w:rsid w:val="BA7B23C6"/>
    <w:rsid w:val="BBF97AAC"/>
    <w:rsid w:val="BF9F951D"/>
    <w:rsid w:val="CFFFCDF0"/>
    <w:rsid w:val="D7B70990"/>
    <w:rsid w:val="DBFEB2F1"/>
    <w:rsid w:val="E7CFCB60"/>
    <w:rsid w:val="EECBADA7"/>
    <w:rsid w:val="F5DEEF16"/>
    <w:rsid w:val="F6EBE35B"/>
    <w:rsid w:val="F7AF4A3E"/>
    <w:rsid w:val="FA8F8EB8"/>
    <w:rsid w:val="FDAF4E9A"/>
    <w:rsid w:val="FF454637"/>
    <w:rsid w:val="FFAF45AB"/>
    <w:rsid w:val="FFDFA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99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9"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rPr>
      <w:rFonts w:ascii="Times New Roman" w:hAnsi="Times New Roman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10">
    <w:name w:val="font122"/>
    <w:basedOn w:val="7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11">
    <w:name w:val="font91"/>
    <w:basedOn w:val="7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2">
    <w:name w:val="font31"/>
    <w:basedOn w:val="7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3">
    <w:name w:val="font61"/>
    <w:basedOn w:val="7"/>
    <w:qFormat/>
    <w:uiPriority w:val="0"/>
    <w:rPr>
      <w:rFonts w:hint="default" w:ascii="Times New Roman" w:hAnsi="Times New Roman" w:cs="Times New Roman"/>
      <w:b/>
      <w:bCs/>
      <w:color w:val="000000"/>
      <w:sz w:val="28"/>
      <w:szCs w:val="28"/>
      <w:u w:val="none"/>
    </w:rPr>
  </w:style>
  <w:style w:type="character" w:customStyle="1" w:styleId="14">
    <w:name w:val="font71"/>
    <w:basedOn w:val="7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5">
    <w:name w:val="font51"/>
    <w:basedOn w:val="7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6">
    <w:name w:val="font8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7">
    <w:name w:val="局公文"/>
    <w:basedOn w:val="1"/>
    <w:qFormat/>
    <w:uiPriority w:val="0"/>
    <w:pPr>
      <w:ind w:firstLine="200" w:firstLineChars="200"/>
    </w:pPr>
    <w:rPr>
      <w:rFonts w:ascii="仿宋_GB2312" w:eastAsia="仿宋_GB2312"/>
      <w:spacing w:val="-12"/>
    </w:rPr>
  </w:style>
  <w:style w:type="paragraph" w:customStyle="1" w:styleId="18">
    <w:name w:val="正式公文正文"/>
    <w:basedOn w:val="1"/>
    <w:qFormat/>
    <w:uiPriority w:val="0"/>
    <w:rPr>
      <w:rFonts w:ascii="仿宋_GB2312" w:eastAsia="仿宋_GB2312"/>
      <w:spacing w:val="-12"/>
      <w:szCs w:val="32"/>
    </w:rPr>
  </w:style>
  <w:style w:type="character" w:customStyle="1" w:styleId="19">
    <w:name w:val="批注框文本 字符"/>
    <w:basedOn w:val="7"/>
    <w:link w:val="2"/>
    <w:qFormat/>
    <w:uiPriority w:val="99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272</Words>
  <Characters>1551</Characters>
  <Lines>12</Lines>
  <Paragraphs>3</Paragraphs>
  <TotalTime>13</TotalTime>
  <ScaleCrop>false</ScaleCrop>
  <LinksUpToDate>false</LinksUpToDate>
  <CharactersWithSpaces>1820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2024-03-21T07:21:00Z</dcterms:created>
  <dc:creator>1</dc:creator>
  <cp:lastModifiedBy>kylin</cp:lastModifiedBy>
  <cp:lastPrinted>2024-03-23T00:59:00Z</cp:lastPrinted>
  <dcterms:modified xsi:type="dcterms:W3CDTF">2024-03-22T11:43:36Z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038A7AB63D314338A6E54BF9899E76D9_13</vt:lpwstr>
  </property>
</Properties>
</file>